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35EA" w:rsidRDefault="00C635EA">
      <w:pPr>
        <w:spacing w:after="0" w:line="276" w:lineRule="auto"/>
        <w:rPr>
          <w:rFonts w:ascii="Calibri" w:hAnsi="Calibri" w:cs="Calibri"/>
          <w:b/>
          <w:caps/>
          <w:sz w:val="22"/>
        </w:rPr>
      </w:pPr>
      <w:r>
        <w:rPr>
          <w:rFonts w:ascii="Calibri" w:hAnsi="Calibri" w:cs="Calibri"/>
          <w:sz w:val="22"/>
        </w:rPr>
        <w:t xml:space="preserve">Project Option 1.10.2 Enhance performance improvement and reporting capacity through technology: </w:t>
      </w:r>
      <w:r>
        <w:rPr>
          <w:rFonts w:ascii="Calibri" w:hAnsi="Calibri" w:cs="Calibri"/>
          <w:b/>
          <w:caps/>
          <w:sz w:val="22"/>
        </w:rPr>
        <w:t>Electronic medical records</w:t>
      </w:r>
    </w:p>
    <w:p w:rsidR="00C635EA" w:rsidRDefault="00C635EA">
      <w:pPr>
        <w:spacing w:after="0" w:line="276" w:lineRule="auto"/>
        <w:rPr>
          <w:rFonts w:ascii="Calibri" w:hAnsi="Calibri" w:cs="Calibri"/>
          <w:b/>
          <w:caps/>
          <w:sz w:val="22"/>
        </w:rPr>
      </w:pPr>
    </w:p>
    <w:p w:rsidR="00C635EA" w:rsidRDefault="00C635EA">
      <w:pPr>
        <w:spacing w:after="200" w:line="276" w:lineRule="auto"/>
        <w:rPr>
          <w:rFonts w:ascii="Calibri" w:hAnsi="Calibri" w:cs="Calibri"/>
          <w:b/>
          <w:sz w:val="22"/>
          <w:u w:val="single"/>
        </w:rPr>
      </w:pPr>
      <w:r>
        <w:rPr>
          <w:rFonts w:ascii="Calibri" w:hAnsi="Calibri" w:cs="Calibri"/>
          <w:b/>
          <w:sz w:val="22"/>
          <w:u w:val="single"/>
        </w:rPr>
        <w:t>Unique Project ID</w:t>
      </w:r>
      <w:r>
        <w:rPr>
          <w:rFonts w:ascii="Calibri" w:hAnsi="Calibri" w:cs="Calibri"/>
          <w:b/>
          <w:sz w:val="22"/>
        </w:rPr>
        <w:t xml:space="preserve">:  </w:t>
      </w:r>
      <w:r>
        <w:rPr>
          <w:rFonts w:ascii="Calibri" w:hAnsi="Calibri" w:cs="Calibri"/>
          <w:sz w:val="22"/>
        </w:rPr>
        <w:t>138951211.1.2</w:t>
      </w:r>
    </w:p>
    <w:p w:rsidR="00C635EA" w:rsidRDefault="00C635EA">
      <w:pPr>
        <w:spacing w:after="200" w:line="276" w:lineRule="auto"/>
        <w:rPr>
          <w:rFonts w:ascii="Calibri" w:hAnsi="Calibri" w:cs="Calibri"/>
          <w:b/>
          <w:sz w:val="22"/>
        </w:rPr>
      </w:pPr>
      <w:r>
        <w:rPr>
          <w:rFonts w:ascii="Calibri" w:hAnsi="Calibri" w:cs="Calibri"/>
          <w:b/>
          <w:sz w:val="22"/>
          <w:u w:val="single"/>
        </w:rPr>
        <w:t>Performing Provider Name/TPI</w:t>
      </w:r>
      <w:r>
        <w:rPr>
          <w:rFonts w:ascii="Calibri" w:hAnsi="Calibri" w:cs="Calibri"/>
          <w:b/>
          <w:sz w:val="22"/>
        </w:rPr>
        <w:t xml:space="preserve">: </w:t>
      </w:r>
      <w:r>
        <w:rPr>
          <w:rFonts w:ascii="Calibri" w:hAnsi="Calibri" w:cs="Calibri"/>
          <w:sz w:val="22"/>
        </w:rPr>
        <w:t xml:space="preserve">The </w:t>
      </w:r>
      <w:smartTag w:uri="urn:schemas-microsoft-com:office:smarttags" w:element="City">
        <w:r>
          <w:rPr>
            <w:rFonts w:ascii="Calibri" w:hAnsi="Calibri" w:cs="Calibri"/>
            <w:sz w:val="22"/>
          </w:rPr>
          <w:t>El Paso</w:t>
        </w:r>
      </w:smartTag>
      <w:r>
        <w:rPr>
          <w:rFonts w:ascii="Calibri" w:hAnsi="Calibri" w:cs="Calibri"/>
          <w:sz w:val="22"/>
        </w:rPr>
        <w:t xml:space="preserve"> County Hospital District d/b/a </w:t>
      </w:r>
      <w:smartTag w:uri="urn:schemas-microsoft-com:office:smarttags" w:element="PlaceType">
        <w:r>
          <w:rPr>
            <w:rFonts w:ascii="Calibri" w:hAnsi="Calibri" w:cs="Calibri"/>
            <w:sz w:val="22"/>
          </w:rPr>
          <w:t>University</w:t>
        </w:r>
      </w:smartTag>
      <w:r>
        <w:rPr>
          <w:rFonts w:ascii="Calibri" w:hAnsi="Calibri" w:cs="Calibri"/>
          <w:sz w:val="22"/>
        </w:rPr>
        <w:t xml:space="preserve"> </w:t>
      </w:r>
      <w:smartTag w:uri="urn:schemas-microsoft-com:office:smarttags" w:element="PlaceName">
        <w:r>
          <w:rPr>
            <w:rFonts w:ascii="Calibri" w:hAnsi="Calibri" w:cs="Calibri"/>
            <w:sz w:val="22"/>
          </w:rPr>
          <w:t>Medical</w:t>
        </w:r>
      </w:smartTag>
      <w:r>
        <w:rPr>
          <w:rFonts w:ascii="Calibri" w:hAnsi="Calibri" w:cs="Calibri"/>
          <w:sz w:val="22"/>
        </w:rPr>
        <w:t xml:space="preserve"> </w:t>
      </w:r>
      <w:smartTag w:uri="urn:schemas-microsoft-com:office:smarttags" w:element="PlaceType">
        <w:r>
          <w:rPr>
            <w:rFonts w:ascii="Calibri" w:hAnsi="Calibri" w:cs="Calibri"/>
            <w:sz w:val="22"/>
          </w:rPr>
          <w:t>Center</w:t>
        </w:r>
      </w:smartTag>
      <w:r>
        <w:rPr>
          <w:rFonts w:ascii="Calibri" w:hAnsi="Calibri" w:cs="Calibri"/>
          <w:sz w:val="22"/>
        </w:rPr>
        <w:t xml:space="preserve"> of </w:t>
      </w:r>
      <w:smartTag w:uri="urn:schemas-microsoft-com:office:smarttags" w:element="place">
        <w:smartTag w:uri="urn:schemas-microsoft-com:office:smarttags" w:element="City">
          <w:r>
            <w:rPr>
              <w:rFonts w:ascii="Calibri" w:hAnsi="Calibri" w:cs="Calibri"/>
              <w:sz w:val="22"/>
            </w:rPr>
            <w:t>El Paso</w:t>
          </w:r>
        </w:smartTag>
      </w:smartTag>
      <w:r>
        <w:rPr>
          <w:rFonts w:ascii="Calibri" w:hAnsi="Calibri" w:cs="Calibri"/>
          <w:sz w:val="22"/>
        </w:rPr>
        <w:t xml:space="preserve"> (UMC) / TPI: 138951211</w:t>
      </w:r>
    </w:p>
    <w:p w:rsidR="00C635EA" w:rsidRDefault="00C635EA">
      <w:pPr>
        <w:spacing w:after="200" w:line="276" w:lineRule="auto"/>
        <w:rPr>
          <w:rFonts w:ascii="Calibri" w:hAnsi="Calibri" w:cs="Calibri"/>
          <w:b/>
          <w:sz w:val="22"/>
          <w:u w:val="single"/>
        </w:rPr>
      </w:pPr>
      <w:r>
        <w:rPr>
          <w:rFonts w:ascii="Calibri" w:hAnsi="Calibri" w:cs="Calibri"/>
          <w:b/>
          <w:sz w:val="22"/>
          <w:u w:val="single"/>
        </w:rPr>
        <w:t>Project Description</w:t>
      </w:r>
      <w:r>
        <w:rPr>
          <w:rFonts w:ascii="Calibri" w:hAnsi="Calibri" w:cs="Calibri"/>
          <w:b/>
          <w:sz w:val="22"/>
        </w:rPr>
        <w:t>:</w:t>
      </w:r>
    </w:p>
    <w:p w:rsidR="00C635EA" w:rsidRDefault="00C635EA">
      <w:pPr>
        <w:spacing w:after="120" w:line="276" w:lineRule="auto"/>
        <w:rPr>
          <w:rFonts w:ascii="Calibri" w:hAnsi="Calibri" w:cs="Calibri"/>
          <w:b/>
          <w:i/>
          <w:sz w:val="22"/>
        </w:rPr>
      </w:pPr>
      <w:r>
        <w:rPr>
          <w:rFonts w:ascii="Calibri" w:hAnsi="Calibri" w:cs="Calibri"/>
          <w:b/>
          <w:i/>
          <w:sz w:val="22"/>
        </w:rPr>
        <w:t>Under this project, UMC will implement robust electronic medical record (EMR) and data collection systems to provide the infrastructure for improving patient care.</w:t>
      </w:r>
    </w:p>
    <w:p w:rsidR="00C635EA" w:rsidRDefault="00C635EA">
      <w:pPr>
        <w:spacing w:after="120" w:line="276" w:lineRule="auto"/>
        <w:rPr>
          <w:rFonts w:ascii="Calibri" w:hAnsi="Calibri" w:cs="Calibri"/>
          <w:sz w:val="22"/>
        </w:rPr>
      </w:pPr>
      <w:r>
        <w:rPr>
          <w:rFonts w:ascii="Calibri" w:hAnsi="Calibri" w:cs="Calibri"/>
          <w:sz w:val="22"/>
        </w:rPr>
        <w:t>Participating in a collaborative has been shown to drive targeted and concerted quality improvement activities with the support of peers and the program. Gaining access to national databases for trauma and surgical cases will save time before, during, and after the provision of treatment, increase patient satisfaction, and allow practitioners to provide more holistic diagnoses and treatment. In addition, the implementation of robust electronic medical record (EMR) and data collecting systems will provide the infrastructure to improve patient care by increasing compliance with evidence-based standards of care and decrease untoward events. This project will incorporate the following databases to improve quality and efficiency in the applicable departments:</w:t>
      </w:r>
    </w:p>
    <w:p w:rsidR="00C635EA" w:rsidRDefault="00C635EA">
      <w:pPr>
        <w:numPr>
          <w:ilvl w:val="0"/>
          <w:numId w:val="6"/>
        </w:numPr>
        <w:spacing w:after="120" w:line="276" w:lineRule="auto"/>
        <w:rPr>
          <w:rFonts w:ascii="Calibri" w:hAnsi="Calibri" w:cs="Calibri"/>
          <w:sz w:val="22"/>
        </w:rPr>
      </w:pPr>
      <w:r>
        <w:rPr>
          <w:rFonts w:ascii="Calibri" w:hAnsi="Calibri" w:cs="Calibri"/>
          <w:b/>
          <w:sz w:val="22"/>
          <w:u w:val="single"/>
        </w:rPr>
        <w:t>TQIP:</w:t>
      </w:r>
      <w:r>
        <w:rPr>
          <w:rFonts w:ascii="Calibri" w:hAnsi="Calibri" w:cs="Calibri"/>
          <w:sz w:val="22"/>
        </w:rPr>
        <w:t xml:space="preserve"> Participation and implementation of the Trauma Quality Improvement Project (TQIP) trauma records database. </w:t>
      </w:r>
    </w:p>
    <w:p w:rsidR="00C635EA" w:rsidRDefault="00C635EA">
      <w:pPr>
        <w:numPr>
          <w:ilvl w:val="0"/>
          <w:numId w:val="6"/>
        </w:numPr>
        <w:spacing w:after="120" w:line="276" w:lineRule="auto"/>
        <w:rPr>
          <w:rFonts w:ascii="Calibri" w:hAnsi="Calibri" w:cs="Calibri"/>
          <w:sz w:val="22"/>
        </w:rPr>
      </w:pPr>
      <w:r>
        <w:rPr>
          <w:rFonts w:ascii="Calibri" w:hAnsi="Calibri" w:cs="Calibri"/>
          <w:b/>
          <w:sz w:val="22"/>
          <w:u w:val="single"/>
        </w:rPr>
        <w:t>SQIP:</w:t>
      </w:r>
      <w:r>
        <w:rPr>
          <w:rFonts w:ascii="Calibri" w:hAnsi="Calibri" w:cs="Calibri"/>
          <w:sz w:val="22"/>
        </w:rPr>
        <w:t xml:space="preserve"> Participation and implementation of NSQIP surgical records database. </w:t>
      </w:r>
    </w:p>
    <w:p w:rsidR="00C635EA" w:rsidRDefault="00C635EA">
      <w:pPr>
        <w:numPr>
          <w:ilvl w:val="0"/>
          <w:numId w:val="6"/>
        </w:numPr>
        <w:spacing w:after="120" w:line="276" w:lineRule="auto"/>
        <w:rPr>
          <w:rFonts w:ascii="Calibri" w:hAnsi="Calibri" w:cs="Calibri"/>
          <w:sz w:val="22"/>
        </w:rPr>
      </w:pPr>
      <w:r>
        <w:rPr>
          <w:rFonts w:ascii="Calibri" w:hAnsi="Calibri" w:cs="Calibri"/>
          <w:b/>
          <w:sz w:val="22"/>
          <w:u w:val="single"/>
        </w:rPr>
        <w:t>Lighthouse:</w:t>
      </w:r>
      <w:r>
        <w:rPr>
          <w:rFonts w:ascii="Calibri" w:hAnsi="Calibri" w:cs="Calibri"/>
          <w:sz w:val="22"/>
        </w:rPr>
        <w:t xml:space="preserve"> Participation and implementation of Cerner’s Lighthouse components including Stroke, Emergency Department (ED) Throughput, and Venous Thromboembolism (VTE). Engaging Cerner in the second year and proceeding to full implementation, to include all Core Measures, IQHealth (Cerner patient portal) and e-prescriptions, by DY5.</w:t>
      </w:r>
    </w:p>
    <w:p w:rsidR="00C635EA" w:rsidRDefault="00C635EA">
      <w:pPr>
        <w:numPr>
          <w:ilvl w:val="0"/>
          <w:numId w:val="6"/>
        </w:numPr>
        <w:spacing w:after="120" w:line="276" w:lineRule="auto"/>
        <w:rPr>
          <w:rFonts w:ascii="Calibri" w:hAnsi="Calibri" w:cs="Calibri"/>
          <w:sz w:val="22"/>
        </w:rPr>
      </w:pPr>
      <w:r>
        <w:rPr>
          <w:rFonts w:ascii="Calibri" w:hAnsi="Calibri" w:cs="Calibri"/>
          <w:b/>
          <w:sz w:val="22"/>
          <w:u w:val="single"/>
        </w:rPr>
        <w:t>NexGen:</w:t>
      </w:r>
      <w:r>
        <w:rPr>
          <w:rFonts w:ascii="Calibri" w:hAnsi="Calibri" w:cs="Calibri"/>
          <w:sz w:val="22"/>
        </w:rPr>
        <w:t xml:space="preserve"> Participation and implementation of the NexGen electronic documentation system for the University Medical Center of El Paso Women’s Health Center (WHC).</w:t>
      </w:r>
    </w:p>
    <w:p w:rsidR="00C635EA" w:rsidRDefault="00C635EA">
      <w:pPr>
        <w:numPr>
          <w:ilvl w:val="0"/>
          <w:numId w:val="6"/>
        </w:numPr>
        <w:spacing w:after="120" w:line="276" w:lineRule="auto"/>
        <w:rPr>
          <w:rFonts w:ascii="Calibri" w:hAnsi="Calibri" w:cs="Calibri"/>
          <w:sz w:val="22"/>
        </w:rPr>
      </w:pPr>
      <w:r>
        <w:rPr>
          <w:rFonts w:ascii="Calibri" w:hAnsi="Calibri" w:cs="Calibri"/>
          <w:b/>
          <w:sz w:val="22"/>
          <w:u w:val="single"/>
        </w:rPr>
        <w:t>OB Airstrip:</w:t>
      </w:r>
      <w:r>
        <w:rPr>
          <w:rFonts w:ascii="Calibri" w:hAnsi="Calibri" w:cs="Calibri"/>
          <w:sz w:val="22"/>
        </w:rPr>
        <w:t xml:space="preserve"> Interfacing Obstetrics (OB) Airstrip with current fetal heart tone surveillance program, Navicare, and providing access to the OB Airstrip application to </w:t>
      </w:r>
      <w:smartTag w:uri="urn:schemas-microsoft-com:office:smarttags" w:element="place">
        <w:r>
          <w:rPr>
            <w:rFonts w:ascii="Calibri" w:hAnsi="Calibri" w:cs="Calibri"/>
            <w:sz w:val="22"/>
          </w:rPr>
          <w:t>OB</w:t>
        </w:r>
      </w:smartTag>
      <w:r>
        <w:rPr>
          <w:rFonts w:ascii="Calibri" w:hAnsi="Calibri" w:cs="Calibri"/>
          <w:sz w:val="22"/>
        </w:rPr>
        <w:t xml:space="preserve"> providers who labor and deliver patients at UMC. </w:t>
      </w:r>
    </w:p>
    <w:p w:rsidR="00C635EA" w:rsidRDefault="00C635EA">
      <w:pPr>
        <w:numPr>
          <w:ilvl w:val="0"/>
          <w:numId w:val="6"/>
        </w:numPr>
        <w:spacing w:after="120" w:line="276" w:lineRule="auto"/>
        <w:rPr>
          <w:rFonts w:ascii="Calibri" w:hAnsi="Calibri" w:cs="Calibri"/>
          <w:sz w:val="22"/>
        </w:rPr>
      </w:pPr>
      <w:r>
        <w:rPr>
          <w:rFonts w:ascii="Calibri" w:hAnsi="Calibri" w:cs="Calibri"/>
          <w:b/>
          <w:sz w:val="22"/>
          <w:u w:val="single"/>
        </w:rPr>
        <w:t>EMR Trauma Flowsheet:</w:t>
      </w:r>
      <w:r>
        <w:rPr>
          <w:rFonts w:ascii="Calibri" w:hAnsi="Calibri" w:cs="Calibri"/>
          <w:sz w:val="22"/>
        </w:rPr>
        <w:t xml:space="preserve"> The development of an EMR Trauma flowsheet. </w:t>
      </w:r>
    </w:p>
    <w:p w:rsidR="00C635EA" w:rsidRDefault="00C635EA">
      <w:pPr>
        <w:numPr>
          <w:ilvl w:val="0"/>
          <w:numId w:val="6"/>
        </w:numPr>
        <w:spacing w:after="120" w:line="276" w:lineRule="auto"/>
        <w:rPr>
          <w:rFonts w:ascii="Calibri" w:hAnsi="Calibri" w:cs="Calibri"/>
          <w:sz w:val="22"/>
        </w:rPr>
      </w:pPr>
      <w:r>
        <w:rPr>
          <w:rFonts w:ascii="Calibri" w:hAnsi="Calibri" w:cs="Calibri"/>
          <w:b/>
          <w:sz w:val="22"/>
          <w:u w:val="single"/>
        </w:rPr>
        <w:t>MedMined:</w:t>
      </w:r>
      <w:r>
        <w:rPr>
          <w:rFonts w:ascii="Calibri" w:hAnsi="Calibri" w:cs="Calibri"/>
          <w:sz w:val="22"/>
        </w:rPr>
        <w:t xml:space="preserve"> It provides a Healthcare Associated Infection Marker with objective, real-time and consistent quality measurement and hospital-wide scope.</w:t>
      </w:r>
    </w:p>
    <w:p w:rsidR="00C635EA" w:rsidRDefault="00C635EA">
      <w:pPr>
        <w:numPr>
          <w:ilvl w:val="0"/>
          <w:numId w:val="6"/>
        </w:numPr>
        <w:spacing w:after="120" w:line="276" w:lineRule="auto"/>
        <w:rPr>
          <w:rFonts w:ascii="Calibri" w:hAnsi="Calibri" w:cs="Calibri"/>
          <w:sz w:val="22"/>
        </w:rPr>
      </w:pPr>
      <w:r>
        <w:rPr>
          <w:rFonts w:ascii="Calibri" w:hAnsi="Calibri" w:cs="Calibri"/>
          <w:b/>
          <w:sz w:val="22"/>
          <w:u w:val="single"/>
        </w:rPr>
        <w:t>Surginet:</w:t>
      </w:r>
      <w:r>
        <w:rPr>
          <w:rFonts w:ascii="Calibri" w:hAnsi="Calibri" w:cs="Calibri"/>
          <w:sz w:val="22"/>
        </w:rPr>
        <w:t xml:space="preserve"> Surginet is Cerner’s Perioperative Service Software application. </w:t>
      </w:r>
    </w:p>
    <w:p w:rsidR="00C635EA" w:rsidRDefault="00C635EA">
      <w:pPr>
        <w:numPr>
          <w:ilvl w:val="0"/>
          <w:numId w:val="6"/>
        </w:numPr>
        <w:spacing w:after="120" w:line="276" w:lineRule="auto"/>
        <w:rPr>
          <w:rFonts w:ascii="Calibri" w:hAnsi="Calibri" w:cs="Calibri"/>
          <w:sz w:val="22"/>
        </w:rPr>
      </w:pPr>
      <w:r>
        <w:rPr>
          <w:rFonts w:ascii="Calibri" w:hAnsi="Calibri" w:cs="Calibri"/>
          <w:b/>
          <w:sz w:val="22"/>
          <w:u w:val="single"/>
        </w:rPr>
        <w:t>Maternal Infant:</w:t>
      </w:r>
      <w:r>
        <w:rPr>
          <w:rFonts w:ascii="Calibri" w:hAnsi="Calibri" w:cs="Calibri"/>
          <w:sz w:val="22"/>
        </w:rPr>
        <w:t xml:space="preserve"> Navicare, Cerner (UMC’s EMR) interface; This program is critical to assuring consistent sharing of patient information throughout the facility.</w:t>
      </w:r>
    </w:p>
    <w:p w:rsidR="00C635EA" w:rsidRDefault="00C635EA">
      <w:pPr>
        <w:spacing w:after="120" w:line="276" w:lineRule="auto"/>
        <w:rPr>
          <w:rFonts w:ascii="Calibri" w:hAnsi="Calibri" w:cs="Calibri"/>
          <w:b/>
          <w:sz w:val="22"/>
        </w:rPr>
      </w:pPr>
      <w:r>
        <w:rPr>
          <w:rFonts w:ascii="Calibri" w:hAnsi="Calibri" w:cs="Calibri"/>
          <w:b/>
          <w:sz w:val="22"/>
        </w:rPr>
        <w:t>Goals and Relationship to Regional Goals:</w:t>
      </w:r>
    </w:p>
    <w:p w:rsidR="00C635EA" w:rsidRDefault="00C635EA">
      <w:pPr>
        <w:autoSpaceDE w:val="0"/>
        <w:autoSpaceDN w:val="0"/>
        <w:adjustRightInd w:val="0"/>
        <w:spacing w:after="120" w:line="276" w:lineRule="auto"/>
        <w:rPr>
          <w:rFonts w:ascii="Calibri" w:hAnsi="Calibri" w:cs="Calibri"/>
          <w:sz w:val="22"/>
          <w:u w:val="single"/>
        </w:rPr>
      </w:pPr>
      <w:r>
        <w:rPr>
          <w:rFonts w:ascii="Calibri" w:hAnsi="Calibri" w:cs="Calibri"/>
          <w:sz w:val="22"/>
          <w:u w:val="single"/>
        </w:rPr>
        <w:t>Project Goals:</w:t>
      </w:r>
      <w:r>
        <w:rPr>
          <w:rFonts w:ascii="Calibri" w:hAnsi="Calibri" w:cs="Calibri"/>
          <w:sz w:val="22"/>
        </w:rPr>
        <w:t xml:space="preserve"> </w:t>
      </w:r>
      <w:r>
        <w:rPr>
          <w:rFonts w:ascii="Calibri" w:hAnsi="Calibri"/>
          <w:sz w:val="22"/>
        </w:rPr>
        <w:t>The goals of this project include allowing inter-disciplinary access to a patient’s records for better quality care. This project will also improve the quality of care and improve patient outcomes for trauma and surgical patients and decrease adverse and “never” events by participating in nationally validated, risk-adjusted, outcomes-based programs to measure and improve the quality of trauma and surgical care (TQIP and NSQIP). In combination with using an evidence-based, data-driven, technology-leveraged approach (i.e., Lighthouse, NexGen, OB Airstrip, Electronic Trauma Flowsheet, Surginet), these additional resources for tracking and measuring will increase the quality of care available at UMC.</w:t>
      </w:r>
    </w:p>
    <w:p w:rsidR="00C635EA" w:rsidRDefault="00C635EA">
      <w:pPr>
        <w:autoSpaceDE w:val="0"/>
        <w:autoSpaceDN w:val="0"/>
        <w:adjustRightInd w:val="0"/>
        <w:spacing w:after="120" w:line="276" w:lineRule="auto"/>
        <w:rPr>
          <w:rFonts w:ascii="Calibri" w:hAnsi="Calibri" w:cs="Calibri"/>
          <w:sz w:val="22"/>
        </w:rPr>
      </w:pPr>
      <w:r>
        <w:rPr>
          <w:rFonts w:ascii="Calibri" w:hAnsi="Calibri" w:cs="Calibri"/>
          <w:sz w:val="22"/>
          <w:u w:val="single"/>
        </w:rPr>
        <w:t>This project meets the following regional goals:</w:t>
      </w:r>
      <w:r>
        <w:rPr>
          <w:rFonts w:ascii="Calibri" w:hAnsi="Calibri" w:cs="Calibri"/>
          <w:sz w:val="22"/>
        </w:rPr>
        <w:t xml:space="preserve"> This project meets the regional goal of increasing patient satisfaction through delivery of high-quality, effective healthcare services. This project will meet this goal by improving UMC’s ability to engage in quality improvement and reporting activities, in order to provide a higher quality of healthcare services at UMC.</w:t>
      </w:r>
    </w:p>
    <w:p w:rsidR="00C635EA" w:rsidRDefault="00C635EA">
      <w:pPr>
        <w:spacing w:after="120" w:line="276" w:lineRule="auto"/>
        <w:rPr>
          <w:rFonts w:ascii="Calibri" w:hAnsi="Calibri" w:cs="Calibri"/>
          <w:b/>
          <w:sz w:val="22"/>
        </w:rPr>
      </w:pPr>
      <w:r>
        <w:rPr>
          <w:rFonts w:ascii="Calibri" w:hAnsi="Calibri" w:cs="Calibri"/>
          <w:b/>
          <w:sz w:val="22"/>
        </w:rPr>
        <w:t xml:space="preserve">Challenges: </w:t>
      </w:r>
    </w:p>
    <w:p w:rsidR="00C635EA" w:rsidRDefault="00C635EA">
      <w:pPr>
        <w:spacing w:after="120" w:line="276" w:lineRule="auto"/>
        <w:rPr>
          <w:rFonts w:ascii="Calibri" w:hAnsi="Calibri" w:cs="Calibri"/>
          <w:sz w:val="22"/>
        </w:rPr>
      </w:pPr>
      <w:r>
        <w:rPr>
          <w:rFonts w:ascii="Calibri" w:hAnsi="Calibri"/>
          <w:sz w:val="22"/>
        </w:rPr>
        <w:t>Implementing these initiatives will require application, implementation, training, personnel, and utilization in order to be successful. Further challenges include training providers on each of the new resource databases and ensuring that support staff that work with these key areas are aware of, have access to, and can effectively use these resources</w:t>
      </w:r>
      <w:r>
        <w:rPr>
          <w:rFonts w:ascii="Calibri" w:hAnsi="Calibri" w:cs="Calibri"/>
          <w:sz w:val="22"/>
        </w:rPr>
        <w:t>.</w:t>
      </w:r>
    </w:p>
    <w:p w:rsidR="00C635EA" w:rsidRDefault="00C635EA">
      <w:pPr>
        <w:spacing w:after="120" w:line="276" w:lineRule="auto"/>
        <w:rPr>
          <w:rFonts w:ascii="Calibri" w:hAnsi="Calibri" w:cs="Calibri"/>
          <w:b/>
          <w:sz w:val="22"/>
        </w:rPr>
      </w:pPr>
      <w:r>
        <w:rPr>
          <w:rFonts w:ascii="Calibri" w:hAnsi="Calibri" w:cs="Calibri"/>
          <w:b/>
          <w:sz w:val="22"/>
        </w:rPr>
        <w:t>5-Year Expected Outcome for Provider and Patients:</w:t>
      </w:r>
    </w:p>
    <w:p w:rsidR="00C635EA" w:rsidRDefault="00C635EA">
      <w:pPr>
        <w:spacing w:after="120" w:line="276" w:lineRule="auto"/>
        <w:rPr>
          <w:rFonts w:ascii="Calibri" w:hAnsi="Calibri" w:cs="Calibri"/>
          <w:sz w:val="22"/>
        </w:rPr>
      </w:pPr>
      <w:r>
        <w:rPr>
          <w:rFonts w:ascii="Calibri" w:hAnsi="Calibri"/>
          <w:sz w:val="22"/>
        </w:rPr>
        <w:t>UMC expects that its neighborhood health centers (NHCs) will expand their quality improvement capacity through the development and increase of people, processes, and technology, so that the resources are in place to conduct, report, drive, and measure quality improvement, ensuring better health outcomes for the patients served by the NHCs.</w:t>
      </w:r>
    </w:p>
    <w:p w:rsidR="00C635EA" w:rsidRDefault="00C635EA">
      <w:pPr>
        <w:spacing w:after="120" w:line="276" w:lineRule="auto"/>
        <w:rPr>
          <w:rFonts w:ascii="Calibri" w:hAnsi="Calibri" w:cs="Calibri"/>
          <w:b/>
          <w:sz w:val="22"/>
        </w:rPr>
      </w:pPr>
      <w:r>
        <w:rPr>
          <w:rFonts w:ascii="Calibri" w:hAnsi="Calibri" w:cs="Calibri"/>
          <w:b/>
          <w:sz w:val="22"/>
          <w:u w:val="single"/>
        </w:rPr>
        <w:t>Starting Point/Baseline:</w:t>
      </w:r>
      <w:r>
        <w:rPr>
          <w:rFonts w:ascii="Calibri" w:hAnsi="Calibri" w:cs="Calibri"/>
          <w:b/>
          <w:sz w:val="22"/>
        </w:rPr>
        <w:t xml:space="preserve"> </w:t>
      </w:r>
    </w:p>
    <w:p w:rsidR="00C635EA" w:rsidRDefault="00C635EA">
      <w:pPr>
        <w:spacing w:after="120" w:line="276" w:lineRule="auto"/>
        <w:rPr>
          <w:rFonts w:ascii="Calibri" w:hAnsi="Calibri"/>
          <w:sz w:val="22"/>
        </w:rPr>
      </w:pPr>
      <w:r>
        <w:rPr>
          <w:rFonts w:ascii="Calibri" w:hAnsi="Calibri"/>
          <w:sz w:val="22"/>
        </w:rPr>
        <w:t>Currently, UMC not participate in any specialty databases (excluding the Trauma Registry).</w:t>
      </w:r>
    </w:p>
    <w:p w:rsidR="00C635EA" w:rsidRDefault="00C635EA">
      <w:pPr>
        <w:numPr>
          <w:ilvl w:val="0"/>
          <w:numId w:val="12"/>
        </w:numPr>
        <w:spacing w:after="120" w:line="276" w:lineRule="auto"/>
        <w:rPr>
          <w:rFonts w:ascii="Calibri" w:hAnsi="Calibri"/>
          <w:sz w:val="22"/>
        </w:rPr>
      </w:pPr>
      <w:r>
        <w:rPr>
          <w:rFonts w:ascii="Calibri" w:hAnsi="Calibri"/>
          <w:sz w:val="22"/>
        </w:rPr>
        <w:t xml:space="preserve">TQIP: UMC does not participate in this database. </w:t>
      </w:r>
    </w:p>
    <w:p w:rsidR="00C635EA" w:rsidRDefault="00C635EA">
      <w:pPr>
        <w:numPr>
          <w:ilvl w:val="0"/>
          <w:numId w:val="12"/>
        </w:numPr>
        <w:spacing w:after="120" w:line="276" w:lineRule="auto"/>
        <w:rPr>
          <w:rFonts w:ascii="Calibri" w:hAnsi="Calibri"/>
          <w:sz w:val="22"/>
        </w:rPr>
      </w:pPr>
      <w:r>
        <w:rPr>
          <w:rFonts w:ascii="Calibri" w:hAnsi="Calibri"/>
          <w:sz w:val="22"/>
        </w:rPr>
        <w:t xml:space="preserve">SQIP: UMC does not participate in this database. </w:t>
      </w:r>
    </w:p>
    <w:p w:rsidR="00C635EA" w:rsidRDefault="00C635EA">
      <w:pPr>
        <w:numPr>
          <w:ilvl w:val="0"/>
          <w:numId w:val="12"/>
        </w:numPr>
        <w:spacing w:after="120" w:line="276" w:lineRule="auto"/>
        <w:rPr>
          <w:rFonts w:ascii="Calibri" w:hAnsi="Calibri"/>
          <w:sz w:val="22"/>
        </w:rPr>
      </w:pPr>
      <w:r>
        <w:rPr>
          <w:rFonts w:ascii="Calibri" w:hAnsi="Calibri"/>
          <w:sz w:val="22"/>
        </w:rPr>
        <w:t xml:space="preserve">Lighthouse: UMC does not have this EMR capability. </w:t>
      </w:r>
    </w:p>
    <w:p w:rsidR="00C635EA" w:rsidRDefault="00C635EA">
      <w:pPr>
        <w:numPr>
          <w:ilvl w:val="0"/>
          <w:numId w:val="12"/>
        </w:numPr>
        <w:spacing w:after="120" w:line="276" w:lineRule="auto"/>
        <w:rPr>
          <w:rFonts w:ascii="Calibri" w:hAnsi="Calibri"/>
          <w:sz w:val="22"/>
        </w:rPr>
      </w:pPr>
      <w:r>
        <w:rPr>
          <w:rFonts w:ascii="Calibri" w:hAnsi="Calibri"/>
          <w:sz w:val="22"/>
        </w:rPr>
        <w:t>NexGen: UMC does not have this EMR capability.</w:t>
      </w:r>
    </w:p>
    <w:p w:rsidR="00C635EA" w:rsidRDefault="00C635EA">
      <w:pPr>
        <w:numPr>
          <w:ilvl w:val="0"/>
          <w:numId w:val="12"/>
        </w:numPr>
        <w:spacing w:after="120" w:line="276" w:lineRule="auto"/>
        <w:rPr>
          <w:rFonts w:ascii="Calibri" w:hAnsi="Calibri"/>
          <w:sz w:val="22"/>
        </w:rPr>
      </w:pPr>
      <w:smartTag w:uri="urn:schemas-microsoft-com:office:smarttags" w:element="place">
        <w:r>
          <w:rPr>
            <w:rFonts w:ascii="Calibri" w:hAnsi="Calibri"/>
            <w:sz w:val="22"/>
          </w:rPr>
          <w:t>OB</w:t>
        </w:r>
      </w:smartTag>
      <w:r>
        <w:rPr>
          <w:rFonts w:ascii="Calibri" w:hAnsi="Calibri"/>
          <w:sz w:val="22"/>
        </w:rPr>
        <w:t xml:space="preserve"> Airstrip: UMC does not have this EMR capability.</w:t>
      </w:r>
    </w:p>
    <w:p w:rsidR="00C635EA" w:rsidRDefault="00C635EA">
      <w:pPr>
        <w:numPr>
          <w:ilvl w:val="0"/>
          <w:numId w:val="12"/>
        </w:numPr>
        <w:spacing w:after="120" w:line="276" w:lineRule="auto"/>
        <w:rPr>
          <w:rFonts w:ascii="Calibri" w:hAnsi="Calibri"/>
          <w:sz w:val="22"/>
        </w:rPr>
      </w:pPr>
      <w:r>
        <w:rPr>
          <w:rFonts w:ascii="Calibri" w:hAnsi="Calibri"/>
          <w:sz w:val="22"/>
        </w:rPr>
        <w:t>EMR Trauma Flowsheet: UMC does not have this EMR capability.</w:t>
      </w:r>
    </w:p>
    <w:p w:rsidR="00C635EA" w:rsidRDefault="00C635EA">
      <w:pPr>
        <w:numPr>
          <w:ilvl w:val="0"/>
          <w:numId w:val="12"/>
        </w:numPr>
        <w:spacing w:after="120" w:line="276" w:lineRule="auto"/>
        <w:rPr>
          <w:rFonts w:ascii="Calibri" w:hAnsi="Calibri"/>
          <w:sz w:val="22"/>
        </w:rPr>
      </w:pPr>
      <w:r>
        <w:rPr>
          <w:rFonts w:ascii="Calibri" w:hAnsi="Calibri"/>
          <w:sz w:val="22"/>
        </w:rPr>
        <w:t>MedMined: UMC does not have this EMR capability.</w:t>
      </w:r>
    </w:p>
    <w:p w:rsidR="00C635EA" w:rsidRDefault="00C635EA">
      <w:pPr>
        <w:numPr>
          <w:ilvl w:val="0"/>
          <w:numId w:val="12"/>
        </w:numPr>
        <w:spacing w:after="120" w:line="276" w:lineRule="auto"/>
        <w:rPr>
          <w:rFonts w:ascii="Calibri" w:hAnsi="Calibri"/>
          <w:sz w:val="22"/>
        </w:rPr>
      </w:pPr>
      <w:r>
        <w:rPr>
          <w:rFonts w:ascii="Calibri" w:hAnsi="Calibri"/>
          <w:sz w:val="22"/>
        </w:rPr>
        <w:t>Surginet: UMC does not have this EMR capability.</w:t>
      </w:r>
    </w:p>
    <w:p w:rsidR="00C635EA" w:rsidRDefault="00C635EA">
      <w:pPr>
        <w:numPr>
          <w:ilvl w:val="0"/>
          <w:numId w:val="12"/>
        </w:numPr>
        <w:spacing w:after="120" w:line="276" w:lineRule="auto"/>
        <w:rPr>
          <w:rFonts w:ascii="Calibri" w:hAnsi="Calibri"/>
          <w:sz w:val="22"/>
        </w:rPr>
      </w:pPr>
      <w:r>
        <w:rPr>
          <w:rFonts w:ascii="Calibri" w:hAnsi="Calibri"/>
          <w:sz w:val="22"/>
        </w:rPr>
        <w:t>Maternal Infant: UMC does not have an integrated, one-source) medical record for mother and baby.</w:t>
      </w:r>
    </w:p>
    <w:p w:rsidR="00C635EA" w:rsidRDefault="00C635EA">
      <w:pPr>
        <w:spacing w:after="120" w:line="276" w:lineRule="auto"/>
        <w:rPr>
          <w:rFonts w:ascii="Calibri" w:hAnsi="Calibri" w:cs="Calibri"/>
          <w:b/>
          <w:sz w:val="22"/>
          <w:u w:val="single"/>
        </w:rPr>
      </w:pPr>
    </w:p>
    <w:p w:rsidR="00C635EA" w:rsidRDefault="00C635EA">
      <w:pPr>
        <w:spacing w:after="120" w:line="276" w:lineRule="auto"/>
        <w:rPr>
          <w:rFonts w:ascii="Calibri" w:hAnsi="Calibri" w:cs="Calibri"/>
          <w:b/>
          <w:sz w:val="22"/>
        </w:rPr>
      </w:pPr>
      <w:r>
        <w:rPr>
          <w:rFonts w:ascii="Calibri" w:hAnsi="Calibri" w:cs="Calibri"/>
          <w:b/>
          <w:sz w:val="22"/>
          <w:u w:val="single"/>
        </w:rPr>
        <w:t>Rationale:</w:t>
      </w:r>
      <w:r>
        <w:rPr>
          <w:rFonts w:ascii="Calibri" w:hAnsi="Calibri" w:cs="Calibri"/>
          <w:b/>
          <w:sz w:val="22"/>
        </w:rPr>
        <w:t xml:space="preserve"> </w:t>
      </w:r>
    </w:p>
    <w:p w:rsidR="00C635EA" w:rsidRDefault="00C635EA">
      <w:pPr>
        <w:spacing w:after="120" w:line="276" w:lineRule="auto"/>
        <w:rPr>
          <w:rFonts w:ascii="Calibri" w:hAnsi="Calibri" w:cs="Calibri"/>
          <w:sz w:val="22"/>
        </w:rPr>
      </w:pPr>
      <w:r>
        <w:rPr>
          <w:rFonts w:ascii="Calibri" w:hAnsi="Calibri" w:cs="Calibri"/>
          <w:sz w:val="22"/>
        </w:rPr>
        <w:t>UMC believes that the acquisition and implementation of these programs will achieve the aims of the Waiver by decreasing adverse and “never” events and improving patient outcomes, as compared to the benchmark, through the following activities:</w:t>
      </w:r>
    </w:p>
    <w:p w:rsidR="00C635EA" w:rsidRDefault="00C635EA">
      <w:pPr>
        <w:numPr>
          <w:ilvl w:val="0"/>
          <w:numId w:val="13"/>
        </w:numPr>
        <w:spacing w:after="120" w:line="276" w:lineRule="auto"/>
        <w:rPr>
          <w:rFonts w:ascii="Calibri" w:hAnsi="Calibri" w:cs="Calibri"/>
          <w:sz w:val="22"/>
        </w:rPr>
      </w:pPr>
      <w:r>
        <w:rPr>
          <w:rFonts w:ascii="Calibri" w:hAnsi="Calibri" w:cs="Calibri"/>
          <w:sz w:val="22"/>
        </w:rPr>
        <w:t>Participation in national collaboratives (NSQIP and TQIP);</w:t>
      </w:r>
    </w:p>
    <w:p w:rsidR="00C635EA" w:rsidRDefault="00C635EA">
      <w:pPr>
        <w:numPr>
          <w:ilvl w:val="0"/>
          <w:numId w:val="13"/>
        </w:numPr>
        <w:spacing w:after="120" w:line="276" w:lineRule="auto"/>
        <w:rPr>
          <w:rFonts w:ascii="Calibri" w:hAnsi="Calibri" w:cs="Calibri"/>
          <w:sz w:val="22"/>
        </w:rPr>
      </w:pPr>
      <w:r>
        <w:rPr>
          <w:rFonts w:ascii="Calibri" w:hAnsi="Calibri" w:cs="Calibri"/>
          <w:sz w:val="22"/>
        </w:rPr>
        <w:t>Hiring and training of personnel in quality improvement statistical process control tools and methods;</w:t>
      </w:r>
    </w:p>
    <w:p w:rsidR="00C635EA" w:rsidRDefault="00C635EA">
      <w:pPr>
        <w:numPr>
          <w:ilvl w:val="0"/>
          <w:numId w:val="13"/>
        </w:numPr>
        <w:spacing w:after="120" w:line="276" w:lineRule="auto"/>
        <w:rPr>
          <w:rFonts w:ascii="Calibri" w:hAnsi="Calibri" w:cs="Calibri"/>
          <w:sz w:val="22"/>
        </w:rPr>
      </w:pPr>
      <w:r>
        <w:rPr>
          <w:rFonts w:ascii="Calibri" w:hAnsi="Calibri" w:cs="Calibri"/>
          <w:sz w:val="22"/>
        </w:rPr>
        <w:t>Acquiring and implementing electronic (computer) programs to assist in data collection, display, and reporting; and</w:t>
      </w:r>
    </w:p>
    <w:p w:rsidR="00C635EA" w:rsidRDefault="00C635EA">
      <w:pPr>
        <w:numPr>
          <w:ilvl w:val="0"/>
          <w:numId w:val="13"/>
        </w:numPr>
        <w:spacing w:after="120" w:line="276" w:lineRule="auto"/>
        <w:rPr>
          <w:rFonts w:ascii="Calibri" w:hAnsi="Calibri" w:cs="Calibri"/>
          <w:sz w:val="22"/>
        </w:rPr>
      </w:pPr>
      <w:r>
        <w:rPr>
          <w:rFonts w:ascii="Calibri" w:hAnsi="Calibri" w:cs="Calibri"/>
          <w:sz w:val="22"/>
        </w:rPr>
        <w:t xml:space="preserve">Creating a comprehensive quality dashboard. </w:t>
      </w:r>
    </w:p>
    <w:p w:rsidR="00C635EA" w:rsidRDefault="00C635EA">
      <w:pPr>
        <w:numPr>
          <w:ilvl w:val="0"/>
          <w:numId w:val="8"/>
        </w:numPr>
        <w:spacing w:after="120" w:line="276" w:lineRule="auto"/>
        <w:rPr>
          <w:rFonts w:ascii="Calibri" w:hAnsi="Calibri" w:cs="Calibri"/>
          <w:sz w:val="22"/>
        </w:rPr>
      </w:pPr>
      <w:r>
        <w:rPr>
          <w:rFonts w:ascii="Calibri" w:hAnsi="Calibri" w:cs="Calibri"/>
          <w:b/>
          <w:sz w:val="22"/>
          <w:u w:val="single"/>
        </w:rPr>
        <w:t>TQIP:</w:t>
      </w:r>
      <w:r>
        <w:rPr>
          <w:rFonts w:ascii="Calibri" w:hAnsi="Calibri" w:cs="Calibri"/>
          <w:sz w:val="22"/>
        </w:rPr>
        <w:t xml:space="preserve"> The trauma population is unique and complex which poses a performance/process improvement challenge. Although, data is collected and submitted to the National Trauma Data Bank, aggregate reports are provided months after submission. This poses a challenge when the organization relies on timely data to correct and improve practice and processes. Participation in TQIP will assist the organization to measure the trauma center’s performance using process and outcomes measures to better understand our strengths and areas for improvement</w:t>
      </w:r>
    </w:p>
    <w:p w:rsidR="00C635EA" w:rsidRDefault="00C635EA">
      <w:pPr>
        <w:numPr>
          <w:ilvl w:val="0"/>
          <w:numId w:val="8"/>
        </w:numPr>
        <w:spacing w:after="120" w:line="276" w:lineRule="auto"/>
        <w:rPr>
          <w:rFonts w:ascii="Calibri" w:hAnsi="Calibri" w:cs="Calibri"/>
          <w:sz w:val="22"/>
        </w:rPr>
      </w:pPr>
      <w:r>
        <w:rPr>
          <w:rFonts w:ascii="Calibri" w:hAnsi="Calibri" w:cs="Calibri"/>
          <w:b/>
          <w:sz w:val="22"/>
          <w:u w:val="single"/>
        </w:rPr>
        <w:t>NSQIP:</w:t>
      </w:r>
      <w:r>
        <w:rPr>
          <w:rFonts w:ascii="Calibri" w:hAnsi="Calibri" w:cs="Calibri"/>
          <w:sz w:val="22"/>
        </w:rPr>
        <w:t xml:space="preserve"> Hospitals participating in the NSQIP program averaged 250-500 averted events, as reported in the Annals of Surgery (Annals of Surgery 205 (3): 363-376. 2009. The prevention of these types of events means improved patient care, reduced hospital stays and avoidance of cost incurred to treat these conditions. NSQIP provides the structure whereby 120 variables per patient: Pre, intra and post-operative are monitored. This close monitoring is performed in real time as opposed to retrospective monitoring, which is not ideal in the prevention of adverse events.</w:t>
      </w:r>
    </w:p>
    <w:p w:rsidR="00C635EA" w:rsidRDefault="00C635EA">
      <w:pPr>
        <w:numPr>
          <w:ilvl w:val="0"/>
          <w:numId w:val="8"/>
        </w:numPr>
        <w:spacing w:after="120" w:line="276" w:lineRule="auto"/>
        <w:rPr>
          <w:rFonts w:ascii="Calibri" w:hAnsi="Calibri" w:cs="Calibri"/>
          <w:sz w:val="22"/>
        </w:rPr>
      </w:pPr>
      <w:r>
        <w:rPr>
          <w:rFonts w:ascii="Calibri" w:hAnsi="Calibri" w:cs="Calibri"/>
          <w:b/>
          <w:sz w:val="22"/>
          <w:u w:val="single"/>
        </w:rPr>
        <w:t>Cerner:</w:t>
      </w:r>
      <w:r>
        <w:rPr>
          <w:rFonts w:ascii="Calibri" w:hAnsi="Calibri" w:cs="Calibri"/>
          <w:sz w:val="22"/>
        </w:rPr>
        <w:t xml:space="preserve"> Each year, more than 650,000 patients (nationwide) experience a preventable event leading to needless pain, injury, and even death. These events not only affect the patient, but are very costly to the organization and payers. Additionally, the lack of sophisticated technology requires manual abstraction of Core Measure elements and other data from the paper and electronic chart. Critical patient and process information are captured retrospectively, too late for preventative measures. The implementation of an electronic system which has the capability to alert the provider of potential omission or inclusion of critical patient care elements will drastically reduce the potential for adverse events. A system capable of providing alerts will also provide the infrastructure to improve patient care by increasing compliance with evidence-based standards of care, such as Core Measures. With the full implementation of Lighthouse (Cerner), patients will be able to access health information through a secure electronic portal. This will provide the patient vital information such discharge summary, medication regimen, which the patient can provide to his/her primary care physician. Electronic e-prescription will reduce the potential for medication errors, thus avoiding potential harm to patient and possible readmission.  </w:t>
      </w:r>
    </w:p>
    <w:p w:rsidR="00C635EA" w:rsidRDefault="00C635EA">
      <w:pPr>
        <w:numPr>
          <w:ilvl w:val="0"/>
          <w:numId w:val="8"/>
        </w:numPr>
        <w:spacing w:after="120" w:line="276" w:lineRule="auto"/>
        <w:rPr>
          <w:rFonts w:ascii="Calibri" w:hAnsi="Calibri" w:cs="Calibri"/>
          <w:sz w:val="22"/>
        </w:rPr>
      </w:pPr>
      <w:r>
        <w:rPr>
          <w:rFonts w:ascii="Calibri" w:hAnsi="Calibri" w:cs="Calibri"/>
          <w:b/>
          <w:sz w:val="22"/>
          <w:u w:val="single"/>
        </w:rPr>
        <w:t>NexGen:</w:t>
      </w:r>
      <w:r>
        <w:rPr>
          <w:rFonts w:ascii="Calibri" w:hAnsi="Calibri" w:cs="Calibri"/>
          <w:sz w:val="22"/>
        </w:rPr>
        <w:t xml:space="preserve"> None of the WHC sites have EMR for the family planning service. The staff transports paper medical records to each clinic site on a daily basis. The benefits of acquiring NexGen would be: 1. The elimination of the need to transport charts to/from each of the current six locations, 2. The space used to store the records would be utilized to provide healthcare services. Nextgen EMR is what is currently being used in all primary care sites. </w:t>
      </w:r>
    </w:p>
    <w:p w:rsidR="00C635EA" w:rsidRDefault="00C635EA">
      <w:pPr>
        <w:numPr>
          <w:ilvl w:val="0"/>
          <w:numId w:val="8"/>
        </w:numPr>
        <w:spacing w:after="120" w:line="276" w:lineRule="auto"/>
        <w:rPr>
          <w:rFonts w:ascii="Calibri" w:hAnsi="Calibri" w:cs="Calibri"/>
          <w:sz w:val="22"/>
        </w:rPr>
      </w:pPr>
      <w:r>
        <w:rPr>
          <w:rFonts w:ascii="Calibri" w:hAnsi="Calibri" w:cs="Calibri"/>
          <w:b/>
          <w:sz w:val="22"/>
          <w:u w:val="single"/>
        </w:rPr>
        <w:t>OB Airstrip:</w:t>
      </w:r>
      <w:r>
        <w:rPr>
          <w:rFonts w:ascii="Calibri" w:hAnsi="Calibri" w:cs="Calibri"/>
          <w:sz w:val="22"/>
        </w:rPr>
        <w:t xml:space="preserve"> Expectations to intervene to prevent harm or poor outcomes are mandated but require accurate real-time interpretations of the fetal heart tone tracing.  Access to the OB Airstrip application increases patient safety as the primary OB physician familiar with the patient and guiding the care of patient has immediate access to view and interpret the fetal surveillance tracing at any time from any location; this enables timely interventions to promote optimal outcomes.</w:t>
      </w:r>
    </w:p>
    <w:p w:rsidR="00C635EA" w:rsidRDefault="00C635EA">
      <w:pPr>
        <w:numPr>
          <w:ilvl w:val="0"/>
          <w:numId w:val="8"/>
        </w:numPr>
        <w:spacing w:after="120" w:line="276" w:lineRule="auto"/>
        <w:rPr>
          <w:rFonts w:ascii="Calibri" w:hAnsi="Calibri" w:cs="Calibri"/>
          <w:sz w:val="22"/>
        </w:rPr>
      </w:pPr>
      <w:r>
        <w:rPr>
          <w:rFonts w:ascii="Calibri" w:hAnsi="Calibri" w:cs="Calibri"/>
          <w:b/>
          <w:sz w:val="22"/>
          <w:u w:val="single"/>
        </w:rPr>
        <w:t xml:space="preserve">Electronic Medical Record (EMR) Trauma Flowsheet: </w:t>
      </w:r>
      <w:r>
        <w:rPr>
          <w:rFonts w:ascii="Calibri" w:hAnsi="Calibri" w:cs="Calibri"/>
          <w:sz w:val="22"/>
        </w:rPr>
        <w:t>Designated trauma centers across the state, including those in RHP 15, are part of the meaningful use set forth by the Centers of Medicare and Medicaid. No trauma center in RHP 15 has an electronic trauma flowsheet, very few in the state have it, however, these centers have had challenges using it to its full potential which is real-time data available for performance improvement reporting and be able to interface with other systems that support trauma registries across our region and soon to come newly designed state trauma registry. The ability to perform faster chart review on trauma patients will allow providers to make timely adjustment to treatments, protocols, and more accurate, up to date information for research purposes in this high risk patient population.</w:t>
      </w:r>
    </w:p>
    <w:p w:rsidR="00C635EA" w:rsidRDefault="00C635EA">
      <w:pPr>
        <w:numPr>
          <w:ilvl w:val="0"/>
          <w:numId w:val="8"/>
        </w:numPr>
        <w:spacing w:after="120" w:line="276" w:lineRule="auto"/>
        <w:rPr>
          <w:rFonts w:ascii="Calibri" w:hAnsi="Calibri" w:cs="Calibri"/>
          <w:sz w:val="22"/>
        </w:rPr>
      </w:pPr>
      <w:r>
        <w:rPr>
          <w:rFonts w:ascii="Calibri" w:hAnsi="Calibri" w:cs="Calibri"/>
          <w:b/>
          <w:sz w:val="22"/>
          <w:u w:val="single"/>
        </w:rPr>
        <w:t>MedMined Services:</w:t>
      </w:r>
      <w:r>
        <w:rPr>
          <w:rFonts w:ascii="Calibri" w:hAnsi="Calibri" w:cs="Calibri"/>
          <w:sz w:val="22"/>
        </w:rPr>
        <w:t xml:space="preserve"> The program is set up to electronically determine which cultures are true healthcare acquired infections and also allows the units to access their infection rates and provides them with recommended actions based on best practice for reducing those infections.</w:t>
      </w:r>
    </w:p>
    <w:p w:rsidR="00C635EA" w:rsidRDefault="00C635EA">
      <w:pPr>
        <w:numPr>
          <w:ilvl w:val="0"/>
          <w:numId w:val="8"/>
        </w:numPr>
        <w:spacing w:after="120" w:line="276" w:lineRule="auto"/>
        <w:rPr>
          <w:rFonts w:ascii="Calibri" w:hAnsi="Calibri" w:cs="Calibri"/>
          <w:sz w:val="22"/>
        </w:rPr>
      </w:pPr>
      <w:r>
        <w:rPr>
          <w:rFonts w:ascii="Calibri" w:hAnsi="Calibri" w:cs="Calibri"/>
          <w:b/>
          <w:sz w:val="22"/>
          <w:u w:val="single"/>
        </w:rPr>
        <w:t>Surginet</w:t>
      </w:r>
      <w:r>
        <w:rPr>
          <w:rFonts w:ascii="Calibri" w:hAnsi="Calibri" w:cs="Calibri"/>
          <w:sz w:val="22"/>
        </w:rPr>
        <w:t xml:space="preserve">: Implementation of Surginet is essential in order to have compatibility of software systems. It would facilitate the acquisition of data for meaningful use and to have one source of truth for surgical patients. This infrastructure will improve patient care by increasing compliance with evidence-based standards of care and decrease the potential for untoward events. </w:t>
      </w:r>
      <w:r>
        <w:rPr>
          <w:rFonts w:ascii="Calibri" w:hAnsi="Calibri" w:cs="Calibri"/>
          <w:sz w:val="22"/>
          <w:u w:val="single"/>
        </w:rPr>
        <w:t xml:space="preserve"> </w:t>
      </w:r>
    </w:p>
    <w:p w:rsidR="00C635EA" w:rsidRDefault="00C635EA">
      <w:pPr>
        <w:numPr>
          <w:ilvl w:val="0"/>
          <w:numId w:val="8"/>
        </w:numPr>
        <w:spacing w:after="120" w:line="276" w:lineRule="auto"/>
        <w:rPr>
          <w:rFonts w:ascii="Calibri" w:hAnsi="Calibri" w:cs="Calibri"/>
          <w:sz w:val="22"/>
        </w:rPr>
      </w:pPr>
      <w:r>
        <w:rPr>
          <w:rFonts w:ascii="Calibri" w:hAnsi="Calibri" w:cs="Calibri"/>
          <w:b/>
          <w:sz w:val="22"/>
          <w:u w:val="single"/>
        </w:rPr>
        <w:t>Maternal Infant:</w:t>
      </w:r>
      <w:r>
        <w:rPr>
          <w:rFonts w:ascii="Calibri" w:hAnsi="Calibri" w:cs="Calibri"/>
          <w:sz w:val="22"/>
        </w:rPr>
        <w:t xml:space="preserve"> The transfer to Cerner as both the fetal surveillance and the overall documentation program for L&amp;D will facilitate creation of a comprehensive electronic medical record thus improving communication of pertinent patient information and increasing patient safety.</w:t>
      </w:r>
    </w:p>
    <w:p w:rsidR="00C635EA" w:rsidRDefault="00C635EA">
      <w:pPr>
        <w:spacing w:after="120" w:line="276" w:lineRule="auto"/>
        <w:rPr>
          <w:rFonts w:ascii="Calibri" w:hAnsi="Calibri" w:cs="Calibri"/>
          <w:b/>
          <w:sz w:val="22"/>
        </w:rPr>
      </w:pPr>
      <w:r>
        <w:rPr>
          <w:rFonts w:ascii="Calibri" w:hAnsi="Calibri" w:cs="Calibri"/>
          <w:b/>
          <w:sz w:val="22"/>
        </w:rPr>
        <w:t>Project Components:</w:t>
      </w:r>
    </w:p>
    <w:p w:rsidR="00C635EA" w:rsidRDefault="00C635EA">
      <w:pPr>
        <w:spacing w:after="120" w:line="276" w:lineRule="auto"/>
        <w:rPr>
          <w:rFonts w:ascii="Calibri" w:hAnsi="Calibri" w:cs="Calibri"/>
          <w:sz w:val="22"/>
        </w:rPr>
      </w:pPr>
      <w:r>
        <w:rPr>
          <w:rFonts w:ascii="Calibri" w:hAnsi="Calibri" w:cs="Calibri"/>
          <w:sz w:val="22"/>
        </w:rPr>
        <w:t>This project will accomplish the following project components:</w:t>
      </w:r>
    </w:p>
    <w:p w:rsidR="00C635EA" w:rsidRDefault="00C635EA">
      <w:pPr>
        <w:numPr>
          <w:ilvl w:val="0"/>
          <w:numId w:val="16"/>
        </w:numPr>
        <w:autoSpaceDE w:val="0"/>
        <w:autoSpaceDN w:val="0"/>
        <w:adjustRightInd w:val="0"/>
        <w:spacing w:after="120" w:line="276" w:lineRule="auto"/>
        <w:jc w:val="left"/>
        <w:rPr>
          <w:rFonts w:ascii="Calibri" w:hAnsi="Calibri" w:cs="Calibri"/>
          <w:sz w:val="22"/>
        </w:rPr>
      </w:pPr>
      <w:r>
        <w:rPr>
          <w:rFonts w:ascii="Calibri" w:hAnsi="Calibri" w:cs="Calibri"/>
          <w:sz w:val="22"/>
        </w:rPr>
        <w:t>Provide training and education to clinical and administrative staff on process improvement strategies, methodologies, and culture.</w:t>
      </w:r>
    </w:p>
    <w:p w:rsidR="00C635EA" w:rsidRDefault="00C635EA">
      <w:pPr>
        <w:numPr>
          <w:ilvl w:val="1"/>
          <w:numId w:val="16"/>
        </w:numPr>
        <w:autoSpaceDE w:val="0"/>
        <w:autoSpaceDN w:val="0"/>
        <w:adjustRightInd w:val="0"/>
        <w:spacing w:after="120" w:line="276" w:lineRule="auto"/>
        <w:jc w:val="left"/>
        <w:rPr>
          <w:rFonts w:ascii="Calibri" w:hAnsi="Calibri" w:cs="Calibri"/>
          <w:sz w:val="22"/>
        </w:rPr>
      </w:pPr>
      <w:r>
        <w:rPr>
          <w:rFonts w:ascii="Calibri" w:hAnsi="Calibri" w:cs="Calibri"/>
          <w:sz w:val="22"/>
        </w:rPr>
        <w:t>UMC will train the relevant staff on the use of the new EMR systems, electronic databases, and quality improvement infrastructure as part of the implementation of the systems, databases, and infrastructure.</w:t>
      </w:r>
    </w:p>
    <w:p w:rsidR="00C635EA" w:rsidRDefault="00C635EA">
      <w:pPr>
        <w:numPr>
          <w:ilvl w:val="0"/>
          <w:numId w:val="16"/>
        </w:numPr>
        <w:autoSpaceDE w:val="0"/>
        <w:autoSpaceDN w:val="0"/>
        <w:adjustRightInd w:val="0"/>
        <w:spacing w:after="120" w:line="276" w:lineRule="auto"/>
        <w:jc w:val="left"/>
        <w:rPr>
          <w:rFonts w:ascii="Calibri" w:hAnsi="Calibri" w:cs="Calibri"/>
          <w:sz w:val="22"/>
        </w:rPr>
      </w:pPr>
      <w:r>
        <w:rPr>
          <w:rFonts w:ascii="Calibri" w:hAnsi="Calibri" w:cs="Calibri"/>
          <w:sz w:val="22"/>
        </w:rPr>
        <w:t>Develop an employee suggestion system that allows for the identification of issues that impact the work environment, patient care and satisfaction, efficiency and other issues aligned with continuous process improvement.</w:t>
      </w:r>
    </w:p>
    <w:p w:rsidR="00C635EA" w:rsidRDefault="00C635EA">
      <w:pPr>
        <w:numPr>
          <w:ilvl w:val="1"/>
          <w:numId w:val="16"/>
        </w:numPr>
        <w:autoSpaceDE w:val="0"/>
        <w:autoSpaceDN w:val="0"/>
        <w:adjustRightInd w:val="0"/>
        <w:spacing w:after="120" w:line="276" w:lineRule="auto"/>
        <w:jc w:val="left"/>
        <w:rPr>
          <w:rFonts w:ascii="Calibri" w:hAnsi="Calibri" w:cs="Calibri"/>
          <w:sz w:val="22"/>
        </w:rPr>
      </w:pPr>
      <w:r>
        <w:rPr>
          <w:rFonts w:ascii="Calibri" w:hAnsi="Calibri" w:cs="Calibri"/>
          <w:sz w:val="22"/>
        </w:rPr>
        <w:t>UMC will develop and implement an employee suggestion system with respect to those employees who utilize the new systems, databases, and infrastructure.</w:t>
      </w:r>
    </w:p>
    <w:p w:rsidR="00C635EA" w:rsidRDefault="00C635EA">
      <w:pPr>
        <w:numPr>
          <w:ilvl w:val="0"/>
          <w:numId w:val="16"/>
        </w:numPr>
        <w:autoSpaceDE w:val="0"/>
        <w:autoSpaceDN w:val="0"/>
        <w:adjustRightInd w:val="0"/>
        <w:spacing w:after="120" w:line="276" w:lineRule="auto"/>
        <w:jc w:val="left"/>
        <w:rPr>
          <w:rFonts w:ascii="Calibri" w:hAnsi="Calibri" w:cs="Calibri"/>
          <w:sz w:val="22"/>
        </w:rPr>
      </w:pPr>
      <w:r>
        <w:rPr>
          <w:rFonts w:ascii="Calibri" w:hAnsi="Calibri" w:cs="Calibri"/>
          <w:sz w:val="22"/>
        </w:rPr>
        <w:t>Conduct quality improvement for the project using methods such as rapid cycle improvement.  Activities may include, but are not limited to, identifying project impacts, “lessons learned,” opportunities to scale all or part of the project to a broader patient population, and key challenges associated with expansion of the project, including special considerations for safety‐net populations.</w:t>
      </w:r>
    </w:p>
    <w:p w:rsidR="00C635EA" w:rsidRDefault="00C635EA">
      <w:pPr>
        <w:numPr>
          <w:ilvl w:val="1"/>
          <w:numId w:val="16"/>
        </w:numPr>
        <w:autoSpaceDE w:val="0"/>
        <w:autoSpaceDN w:val="0"/>
        <w:adjustRightInd w:val="0"/>
        <w:spacing w:after="120" w:line="276" w:lineRule="auto"/>
        <w:jc w:val="left"/>
        <w:rPr>
          <w:rFonts w:ascii="Calibri" w:hAnsi="Calibri" w:cs="Calibri"/>
          <w:sz w:val="22"/>
        </w:rPr>
      </w:pPr>
      <w:r>
        <w:rPr>
          <w:rFonts w:ascii="Calibri" w:hAnsi="Calibri" w:cs="Calibri"/>
          <w:sz w:val="22"/>
        </w:rPr>
        <w:t>UMC will use its new systems, databases, and infrastructure, after implementation, to conduct quality improvement activities.</w:t>
      </w:r>
    </w:p>
    <w:p w:rsidR="00C635EA" w:rsidRDefault="00C635EA">
      <w:pPr>
        <w:autoSpaceDE w:val="0"/>
        <w:autoSpaceDN w:val="0"/>
        <w:adjustRightInd w:val="0"/>
        <w:spacing w:after="120" w:line="276" w:lineRule="auto"/>
        <w:rPr>
          <w:rFonts w:ascii="Calibri" w:hAnsi="Calibri" w:cs="Calibri"/>
          <w:sz w:val="22"/>
        </w:rPr>
      </w:pPr>
      <w:r>
        <w:rPr>
          <w:rFonts w:ascii="Calibri" w:hAnsi="Calibri" w:cs="Calibri"/>
          <w:b/>
          <w:sz w:val="22"/>
        </w:rPr>
        <w:t xml:space="preserve">Unique community need identification numbers the project addresses: </w:t>
      </w:r>
      <w:r>
        <w:rPr>
          <w:rFonts w:ascii="Calibri" w:hAnsi="Calibri" w:cs="Calibri"/>
          <w:sz w:val="22"/>
        </w:rPr>
        <w:t xml:space="preserve"> </w:t>
      </w:r>
    </w:p>
    <w:p w:rsidR="00C635EA" w:rsidRDefault="00C635EA">
      <w:pPr>
        <w:numPr>
          <w:ilvl w:val="0"/>
          <w:numId w:val="17"/>
        </w:numPr>
        <w:spacing w:after="0" w:line="276" w:lineRule="auto"/>
        <w:jc w:val="left"/>
        <w:rPr>
          <w:rFonts w:ascii="Calibri" w:hAnsi="Calibri" w:cs="Calibri"/>
          <w:sz w:val="22"/>
        </w:rPr>
      </w:pPr>
      <w:r>
        <w:rPr>
          <w:rFonts w:ascii="Calibri" w:hAnsi="Calibri" w:cs="Calibri"/>
          <w:sz w:val="22"/>
        </w:rPr>
        <w:t>CN-1: Primary Care</w:t>
      </w:r>
    </w:p>
    <w:p w:rsidR="00C635EA" w:rsidRDefault="00C635EA">
      <w:pPr>
        <w:numPr>
          <w:ilvl w:val="0"/>
          <w:numId w:val="17"/>
        </w:numPr>
        <w:spacing w:after="0" w:line="276" w:lineRule="auto"/>
        <w:jc w:val="left"/>
        <w:rPr>
          <w:rFonts w:ascii="Calibri" w:hAnsi="Calibri" w:cs="Calibri"/>
          <w:sz w:val="22"/>
        </w:rPr>
      </w:pPr>
      <w:r>
        <w:rPr>
          <w:rFonts w:ascii="Calibri" w:hAnsi="Calibri" w:cs="Calibri"/>
          <w:sz w:val="22"/>
        </w:rPr>
        <w:t>CN-6: Other Projects</w:t>
      </w:r>
    </w:p>
    <w:p w:rsidR="00C635EA" w:rsidRDefault="00C635EA">
      <w:pPr>
        <w:spacing w:after="0"/>
        <w:rPr>
          <w:rFonts w:ascii="Calibri" w:hAnsi="Calibri" w:cs="Calibri"/>
          <w:sz w:val="22"/>
        </w:rPr>
      </w:pPr>
    </w:p>
    <w:p w:rsidR="00C635EA" w:rsidRDefault="00C635EA">
      <w:pPr>
        <w:spacing w:after="120" w:line="276" w:lineRule="auto"/>
        <w:rPr>
          <w:rFonts w:ascii="Calibri" w:hAnsi="Calibri" w:cs="Calibri"/>
          <w:sz w:val="22"/>
        </w:rPr>
      </w:pPr>
      <w:r>
        <w:rPr>
          <w:rFonts w:ascii="Calibri" w:hAnsi="Calibri" w:cs="Calibri"/>
          <w:b/>
          <w:sz w:val="22"/>
        </w:rPr>
        <w:t xml:space="preserve">How the project represents a new initiative or significantly enhances an existing delivery system reform initiative: </w:t>
      </w:r>
    </w:p>
    <w:p w:rsidR="00C635EA" w:rsidRDefault="00C635EA">
      <w:pPr>
        <w:spacing w:after="120" w:line="276" w:lineRule="auto"/>
        <w:rPr>
          <w:rFonts w:ascii="Calibri" w:hAnsi="Calibri" w:cs="Calibri"/>
          <w:b/>
          <w:sz w:val="22"/>
          <w:u w:val="single"/>
        </w:rPr>
      </w:pPr>
      <w:r>
        <w:rPr>
          <w:rFonts w:ascii="Calibri" w:hAnsi="Calibri" w:cs="Calibri"/>
          <w:sz w:val="22"/>
        </w:rPr>
        <w:t>This project will significantly enhance the care provided to El Paso residents by UMC by improving the quality of that care. Currently, UMC is limited in its ability to undertake meaningful quality improvement activities due to a lack of appropriate technology infrastructure.</w:t>
      </w:r>
    </w:p>
    <w:p w:rsidR="00C635EA" w:rsidRDefault="00C635EA">
      <w:pPr>
        <w:spacing w:after="120" w:line="276" w:lineRule="auto"/>
        <w:rPr>
          <w:rFonts w:ascii="Calibri" w:hAnsi="Calibri" w:cs="Calibri"/>
          <w:sz w:val="22"/>
        </w:rPr>
      </w:pPr>
      <w:r>
        <w:rPr>
          <w:rFonts w:ascii="Calibri" w:hAnsi="Calibri" w:cs="Calibri"/>
          <w:b/>
          <w:sz w:val="22"/>
          <w:u w:val="single"/>
        </w:rPr>
        <w:t>Related Category 3 Outcome Measures:</w:t>
      </w:r>
      <w:r>
        <w:rPr>
          <w:rFonts w:ascii="Calibri" w:hAnsi="Calibri" w:cs="Calibri"/>
          <w:sz w:val="22"/>
        </w:rPr>
        <w:t xml:space="preserve"> </w:t>
      </w:r>
    </w:p>
    <w:p w:rsidR="00C635EA" w:rsidRDefault="00C635EA">
      <w:pPr>
        <w:spacing w:after="200" w:line="276" w:lineRule="auto"/>
        <w:rPr>
          <w:rFonts w:ascii="Calibri" w:hAnsi="Calibri" w:cs="Calibri"/>
          <w:sz w:val="22"/>
        </w:rPr>
      </w:pPr>
      <w:r>
        <w:rPr>
          <w:rFonts w:ascii="Calibri" w:hAnsi="Calibri" w:cs="Calibri"/>
          <w:sz w:val="22"/>
        </w:rPr>
        <w:t>OD-4: Potentially Preventable Complications and Healthcare Acquired Conditions</w:t>
      </w:r>
    </w:p>
    <w:p w:rsidR="00C635EA" w:rsidRDefault="00C635EA">
      <w:pPr>
        <w:spacing w:after="200" w:line="276" w:lineRule="auto"/>
        <w:rPr>
          <w:rFonts w:ascii="Calibri" w:hAnsi="Calibri" w:cs="Calibri"/>
          <w:sz w:val="22"/>
        </w:rPr>
      </w:pPr>
      <w:r>
        <w:rPr>
          <w:rFonts w:ascii="Calibri" w:hAnsi="Calibri" w:cs="Calibri"/>
          <w:sz w:val="22"/>
        </w:rPr>
        <w:t>IT-4.3: Catheter-Associated Urinary Tract Infections (CAUTI) rates</w:t>
      </w:r>
    </w:p>
    <w:p w:rsidR="00C635EA" w:rsidRDefault="00C635EA">
      <w:pPr>
        <w:spacing w:after="120" w:line="276" w:lineRule="auto"/>
        <w:rPr>
          <w:rFonts w:ascii="Calibri" w:hAnsi="Calibri" w:cs="Calibri"/>
          <w:b/>
          <w:sz w:val="22"/>
        </w:rPr>
      </w:pPr>
      <w:r>
        <w:rPr>
          <w:rFonts w:ascii="Calibri" w:hAnsi="Calibri" w:cs="Calibri"/>
          <w:b/>
          <w:sz w:val="22"/>
        </w:rPr>
        <w:t xml:space="preserve">Reasons/rationale for selecting the outcome measures: </w:t>
      </w:r>
    </w:p>
    <w:p w:rsidR="00C635EA" w:rsidRDefault="00C635EA">
      <w:pPr>
        <w:spacing w:after="200" w:line="276" w:lineRule="auto"/>
        <w:rPr>
          <w:rFonts w:ascii="Calibri" w:hAnsi="Calibri" w:cs="Calibri"/>
          <w:sz w:val="22"/>
        </w:rPr>
      </w:pPr>
      <w:r>
        <w:rPr>
          <w:rFonts w:ascii="Calibri" w:hAnsi="Calibri" w:cs="Calibri"/>
          <w:sz w:val="22"/>
        </w:rPr>
        <w:t>Through the implementation of the electronic systems described above, real-time information will be captured which will alert process participants of increased potential for a Catheter-Associated Urinary Tract Infection (CAUTI) to develop. For example, leading indicators will alert the Quality Management department when a particular patient possesses all the high risk indicators which contribute to the development of a CAUTI (e.g., dehydration, immobility, elderly, Foley catheterization, etc.). Preventative measures can then be implemented to avoid the actualization of a CAUTI.</w:t>
      </w:r>
    </w:p>
    <w:p w:rsidR="00C635EA" w:rsidRDefault="00C635EA">
      <w:pPr>
        <w:spacing w:after="200" w:line="276" w:lineRule="auto"/>
        <w:rPr>
          <w:rFonts w:ascii="Calibri" w:hAnsi="Calibri" w:cs="Calibri"/>
          <w:sz w:val="22"/>
        </w:rPr>
      </w:pPr>
      <w:r>
        <w:rPr>
          <w:rFonts w:ascii="Calibri" w:hAnsi="Calibri" w:cs="Calibri"/>
          <w:b/>
          <w:sz w:val="22"/>
          <w:u w:val="single"/>
        </w:rPr>
        <w:t>Relationship to other Projects:</w:t>
      </w:r>
      <w:r>
        <w:rPr>
          <w:rFonts w:ascii="Calibri" w:hAnsi="Calibri" w:cs="Calibri"/>
          <w:b/>
          <w:sz w:val="22"/>
        </w:rPr>
        <w:t xml:space="preserve">  </w:t>
      </w:r>
      <w:r>
        <w:rPr>
          <w:rFonts w:ascii="Calibri" w:hAnsi="Calibri" w:cs="Calibri"/>
          <w:sz w:val="22"/>
        </w:rPr>
        <w:t>This project is one of several UMC projects which aim to improve the quality and availability of primary care services in the El Paso community, including Establishing the Crossroads Clinic in Southwestern El Paso (138951211.1.3); Expanding Primary Care at Ysleta and Fabens (138951211.1.5); and Expansion and Enhancement of Medical Homes at UMC NHCs (138951211.2.4). UMC will also be establishing a similar expansion of quality improvement capabilities for its neighborhood health centers (NHCs) (138951211.1.7).</w:t>
      </w:r>
    </w:p>
    <w:p w:rsidR="00C635EA" w:rsidRDefault="00C635EA">
      <w:pPr>
        <w:spacing w:after="120" w:line="276" w:lineRule="auto"/>
        <w:rPr>
          <w:rFonts w:ascii="Calibri" w:hAnsi="Calibri" w:cs="Calibri"/>
          <w:sz w:val="22"/>
        </w:rPr>
      </w:pPr>
      <w:r>
        <w:rPr>
          <w:rFonts w:ascii="Calibri" w:hAnsi="Calibri" w:cs="Calibri"/>
          <w:b/>
          <w:sz w:val="22"/>
          <w:u w:val="single"/>
        </w:rPr>
        <w:t>Relationship to Other Performing Providers’ Projects and Plan for Learning Collaborative:</w:t>
      </w:r>
      <w:r>
        <w:rPr>
          <w:rFonts w:ascii="Calibri" w:hAnsi="Calibri" w:cs="Calibri"/>
          <w:b/>
          <w:sz w:val="22"/>
        </w:rPr>
        <w:t xml:space="preserve"> </w:t>
      </w:r>
      <w:r>
        <w:rPr>
          <w:rFonts w:ascii="Calibri" w:hAnsi="Calibri" w:cs="Calibri"/>
          <w:sz w:val="22"/>
        </w:rPr>
        <w:t>This project is an internal improvement to be implemented at UMC and does not directly relate to other performing providers’ projects in the region. However, the implementation of better reporting will make it easier for UMC to document lessons learned and best practices which it develops within its facility, for sharing with other regional performing providers, which may lead to better support for DSRIP projects and better patient outcomes throughout the region.</w:t>
      </w:r>
    </w:p>
    <w:p w:rsidR="00C635EA" w:rsidRDefault="00C635EA">
      <w:pPr>
        <w:spacing w:after="120" w:line="276" w:lineRule="auto"/>
        <w:rPr>
          <w:rFonts w:ascii="Calibri" w:hAnsi="Calibri" w:cs="Calibri"/>
          <w:iCs/>
          <w:sz w:val="22"/>
        </w:rPr>
      </w:pPr>
      <w:r>
        <w:rPr>
          <w:rFonts w:ascii="Calibri" w:hAnsi="Calibri" w:cs="Calibri"/>
          <w:iCs/>
          <w:sz w:val="22"/>
        </w:rPr>
        <w:t xml:space="preserve">Performing Providers, IGT entities, and the Anchor for Region 15 have held consistent monthly meetings throughout the development of the Waiver. As noted by HHSC and CMS, meeting and discussing Waiver successes and challenges facilitates open communication and collaboration among the Region 15 participants. Meetings, calls, and webinars represent a way to share ideas, experiences, and work together to solve regional healthcare delivery issues and continue to work to address Region 15’s community needs.  UMC, as the Region 15 Anchor anticipates continuing to facilitate a monthly meeting, and potentially breaking into workgroup Learning Collaboratives that meet more frequently to address specific DSRIP project areas that are common to Region 15, as determined to be necessary by the Performing Providers and IGT entities. UMC will continue to maintain the Region 15 website, which has updated information from HHSC, regional projects listed by Performing Provider, contact information for each participant, and minutes, notes and slides from each meeting for those parties that were unable to attend in-person. </w:t>
      </w:r>
    </w:p>
    <w:p w:rsidR="00C635EA" w:rsidRDefault="00C635EA">
      <w:pPr>
        <w:spacing w:after="120" w:line="276" w:lineRule="auto"/>
        <w:rPr>
          <w:rFonts w:ascii="Calibri" w:hAnsi="Calibri" w:cs="Calibri"/>
          <w:iCs/>
          <w:sz w:val="22"/>
        </w:rPr>
      </w:pPr>
      <w:r>
        <w:rPr>
          <w:rFonts w:ascii="Calibri" w:hAnsi="Calibri" w:cs="Calibri"/>
          <w:iCs/>
          <w:sz w:val="22"/>
        </w:rPr>
        <w:t>Region 15 participants look forward to the opportunity to gather annually with Performing Providers and IGT entities state-wide to share experiences and challenges in implementing DSRIP projects, but also recognize the importance of continuing ongoing regional interactions to effectuate change locally. Through the use of both state-wide and regional Learning Collaborative components, Region 15 is confident that it will be successful in improving the local healthcare delivery system for the low-income and indigent population.</w:t>
      </w:r>
    </w:p>
    <w:p w:rsidR="00C635EA" w:rsidRDefault="00C635EA">
      <w:pPr>
        <w:spacing w:after="200" w:line="276" w:lineRule="auto"/>
        <w:rPr>
          <w:rFonts w:ascii="Calibri" w:hAnsi="Calibri" w:cs="Calibri"/>
          <w:b/>
          <w:sz w:val="22"/>
          <w:u w:val="single"/>
        </w:rPr>
      </w:pPr>
      <w:r>
        <w:rPr>
          <w:rFonts w:ascii="Calibri" w:hAnsi="Calibri" w:cs="Calibri"/>
          <w:b/>
          <w:sz w:val="22"/>
          <w:u w:val="single"/>
        </w:rPr>
        <w:t>Project Valuation</w:t>
      </w:r>
    </w:p>
    <w:p w:rsidR="00C635EA" w:rsidRDefault="00C635EA">
      <w:pPr>
        <w:autoSpaceDE w:val="0"/>
        <w:autoSpaceDN w:val="0"/>
        <w:adjustRightInd w:val="0"/>
        <w:spacing w:after="200" w:line="276" w:lineRule="auto"/>
        <w:rPr>
          <w:rFonts w:ascii="Calibri" w:hAnsi="Calibri" w:cs="Calibri"/>
          <w:sz w:val="22"/>
        </w:rPr>
      </w:pPr>
      <w:r>
        <w:rPr>
          <w:rFonts w:ascii="Calibri" w:hAnsi="Calibri" w:cs="Calibri"/>
          <w:color w:val="000000"/>
          <w:sz w:val="22"/>
        </w:rPr>
        <w:t>In determining the value of this project, UMC considered the extent to which enhanced reporting capacity through increased access to electronic medical records databases will address community needs, the population served, the resources and cost necessary to implement the project, and the project’s ability to meet the goals of the Waiver (including supporting the development of a coordinated care delivery system, improving outcomes while containing costs, and improving the healthcare infrastructure). The necessity for improved electronic medical records systems is ever present. Organized and documented performance improvement processes and effective reporting of the results are critical to make and sustain appropriate changes. Skilled staff and effective technology are vital to ensure that our health care system is providing optimum patient health outcomes. The value of the project also includes startup and maintenance costs such as licenses, hardware and software, education, travel, subscription fees, implementation fees, and other such requirements</w:t>
      </w:r>
      <w:r>
        <w:rPr>
          <w:rFonts w:ascii="Calibri" w:hAnsi="Calibri" w:cs="Calibri"/>
          <w:bCs/>
          <w:color w:val="000000"/>
          <w:sz w:val="22"/>
        </w:rPr>
        <w:t>.</w:t>
      </w:r>
    </w:p>
    <w:p w:rsidR="00C635EA" w:rsidRDefault="00C635EA">
      <w:pPr>
        <w:spacing w:after="200" w:line="276" w:lineRule="auto"/>
        <w:jc w:val="left"/>
        <w:rPr>
          <w:rFonts w:ascii="Calibri" w:hAnsi="Calibri"/>
          <w:sz w:val="22"/>
          <w:szCs w:val="24"/>
        </w:rPr>
        <w:sectPr w:rsidR="00C635EA">
          <w:footerReference w:type="default" r:id="rId7"/>
          <w:pgSz w:w="12240" w:h="15840"/>
          <w:pgMar w:top="1440" w:right="1440" w:bottom="1440" w:left="1440" w:header="720" w:footer="720" w:gutter="0"/>
          <w:cols w:space="720"/>
          <w:docGrid w:linePitch="360"/>
        </w:sectPr>
      </w:pPr>
    </w:p>
    <w:tbl>
      <w:tblPr>
        <w:tblW w:w="141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430"/>
        <w:gridCol w:w="1029"/>
        <w:gridCol w:w="1131"/>
        <w:gridCol w:w="2166"/>
        <w:gridCol w:w="3297"/>
        <w:gridCol w:w="387"/>
        <w:gridCol w:w="3690"/>
      </w:tblGrid>
      <w:tr w:rsidR="00C635EA">
        <w:trPr>
          <w:trHeight w:val="272"/>
          <w:tblHeader/>
          <w:jc w:val="center"/>
        </w:trPr>
        <w:tc>
          <w:tcPr>
            <w:tcW w:w="2430" w:type="dxa"/>
          </w:tcPr>
          <w:p w:rsidR="00C635EA" w:rsidRDefault="00C635EA">
            <w:pPr>
              <w:spacing w:after="0" w:line="276" w:lineRule="auto"/>
              <w:jc w:val="center"/>
              <w:rPr>
                <w:rFonts w:ascii="Calibri" w:hAnsi="Calibri"/>
                <w:b/>
                <w:i/>
                <w:smallCaps/>
              </w:rPr>
            </w:pPr>
            <w:r>
              <w:rPr>
                <w:rFonts w:ascii="Calibri" w:hAnsi="Calibri" w:cs="Calibri"/>
                <w:sz w:val="22"/>
              </w:rPr>
              <w:t>138951211.1.2</w:t>
            </w:r>
          </w:p>
        </w:tc>
        <w:tc>
          <w:tcPr>
            <w:tcW w:w="2160" w:type="dxa"/>
            <w:gridSpan w:val="2"/>
          </w:tcPr>
          <w:p w:rsidR="00C635EA" w:rsidRDefault="00C635EA">
            <w:pPr>
              <w:spacing w:after="0" w:line="276" w:lineRule="auto"/>
              <w:jc w:val="center"/>
              <w:rPr>
                <w:rFonts w:ascii="Calibri" w:hAnsi="Calibri"/>
                <w:b/>
                <w:i/>
                <w:smallCaps/>
              </w:rPr>
            </w:pPr>
            <w:r>
              <w:rPr>
                <w:rFonts w:ascii="Calibri" w:hAnsi="Calibri"/>
                <w:b/>
                <w:i/>
                <w:smallCaps/>
                <w:sz w:val="22"/>
              </w:rPr>
              <w:t>1.10.2</w:t>
            </w:r>
          </w:p>
        </w:tc>
        <w:tc>
          <w:tcPr>
            <w:tcW w:w="2166" w:type="dxa"/>
          </w:tcPr>
          <w:p w:rsidR="00C635EA" w:rsidRDefault="00C635EA">
            <w:pPr>
              <w:spacing w:after="0" w:line="276" w:lineRule="auto"/>
              <w:jc w:val="center"/>
              <w:rPr>
                <w:rFonts w:ascii="Calibri" w:hAnsi="Calibri"/>
                <w:b/>
                <w:i/>
                <w:smallCaps/>
              </w:rPr>
            </w:pPr>
            <w:r>
              <w:rPr>
                <w:rFonts w:ascii="Calibri" w:hAnsi="Calibri" w:cs="Calibri"/>
                <w:sz w:val="22"/>
              </w:rPr>
              <w:t>1.10.2</w:t>
            </w:r>
          </w:p>
        </w:tc>
        <w:tc>
          <w:tcPr>
            <w:tcW w:w="7374" w:type="dxa"/>
            <w:gridSpan w:val="3"/>
            <w:vAlign w:val="center"/>
          </w:tcPr>
          <w:p w:rsidR="00C635EA" w:rsidRDefault="00C635EA">
            <w:pPr>
              <w:spacing w:after="0" w:line="276" w:lineRule="auto"/>
              <w:jc w:val="center"/>
              <w:rPr>
                <w:rFonts w:ascii="Calibri" w:hAnsi="Calibri"/>
                <w:b/>
                <w:i/>
                <w:smallCaps/>
              </w:rPr>
            </w:pPr>
            <w:r>
              <w:rPr>
                <w:rFonts w:ascii="Calibri" w:hAnsi="Calibri"/>
                <w:b/>
                <w:i/>
                <w:smallCaps/>
                <w:sz w:val="22"/>
              </w:rPr>
              <w:t>Enhance Improvement Capacity Within Systems</w:t>
            </w:r>
          </w:p>
        </w:tc>
      </w:tr>
      <w:tr w:rsidR="00C635EA">
        <w:trPr>
          <w:trHeight w:val="257"/>
          <w:tblHeader/>
          <w:jc w:val="center"/>
        </w:trPr>
        <w:tc>
          <w:tcPr>
            <w:tcW w:w="10053" w:type="dxa"/>
            <w:gridSpan w:val="5"/>
          </w:tcPr>
          <w:p w:rsidR="00C635EA" w:rsidRDefault="00C635EA">
            <w:pPr>
              <w:spacing w:after="0" w:line="276" w:lineRule="auto"/>
              <w:jc w:val="center"/>
              <w:rPr>
                <w:rFonts w:ascii="Calibri" w:hAnsi="Calibri"/>
                <w:b/>
                <w:i/>
              </w:rPr>
            </w:pPr>
            <w:r>
              <w:rPr>
                <w:rFonts w:ascii="Calibri" w:hAnsi="Calibri"/>
                <w:b/>
                <w:i/>
                <w:sz w:val="22"/>
              </w:rPr>
              <w:t>University Medical Center of El Paso</w:t>
            </w:r>
          </w:p>
        </w:tc>
        <w:tc>
          <w:tcPr>
            <w:tcW w:w="4077" w:type="dxa"/>
            <w:gridSpan w:val="2"/>
          </w:tcPr>
          <w:p w:rsidR="00C635EA" w:rsidRDefault="00C635EA">
            <w:pPr>
              <w:spacing w:after="0" w:line="276" w:lineRule="auto"/>
              <w:jc w:val="center"/>
              <w:rPr>
                <w:rFonts w:ascii="Calibri" w:hAnsi="Calibri"/>
                <w:i/>
              </w:rPr>
            </w:pPr>
            <w:r>
              <w:rPr>
                <w:rFonts w:ascii="Calibri" w:hAnsi="Calibri" w:cs="Arial"/>
                <w:i/>
                <w:sz w:val="22"/>
              </w:rPr>
              <w:t>138951211</w:t>
            </w:r>
          </w:p>
        </w:tc>
      </w:tr>
      <w:tr w:rsidR="00C635EA">
        <w:trPr>
          <w:trHeight w:val="257"/>
          <w:tblHeader/>
          <w:jc w:val="center"/>
        </w:trPr>
        <w:tc>
          <w:tcPr>
            <w:tcW w:w="2430" w:type="dxa"/>
          </w:tcPr>
          <w:p w:rsidR="00C635EA" w:rsidRDefault="00C635EA">
            <w:pPr>
              <w:spacing w:after="0" w:line="276" w:lineRule="auto"/>
              <w:jc w:val="center"/>
              <w:rPr>
                <w:rFonts w:ascii="Calibri" w:hAnsi="Calibri"/>
                <w:i/>
              </w:rPr>
            </w:pPr>
            <w:r>
              <w:rPr>
                <w:rFonts w:ascii="Calibri" w:hAnsi="Calibri"/>
                <w:b/>
                <w:i/>
                <w:sz w:val="22"/>
              </w:rPr>
              <w:t>Related Category 3 Outcome Measure(s):</w:t>
            </w:r>
          </w:p>
        </w:tc>
        <w:tc>
          <w:tcPr>
            <w:tcW w:w="2160" w:type="dxa"/>
            <w:gridSpan w:val="2"/>
          </w:tcPr>
          <w:p w:rsidR="00C635EA" w:rsidRDefault="00C635EA">
            <w:pPr>
              <w:spacing w:after="0" w:line="276" w:lineRule="auto"/>
              <w:jc w:val="center"/>
              <w:rPr>
                <w:rFonts w:ascii="Calibri" w:hAnsi="Calibri"/>
                <w:b/>
                <w:i/>
              </w:rPr>
            </w:pPr>
            <w:r>
              <w:rPr>
                <w:rFonts w:ascii="Calibri" w:hAnsi="Calibri"/>
                <w:b/>
                <w:i/>
                <w:sz w:val="22"/>
              </w:rPr>
              <w:t>IT-4.3</w:t>
            </w:r>
          </w:p>
        </w:tc>
        <w:tc>
          <w:tcPr>
            <w:tcW w:w="2166" w:type="dxa"/>
          </w:tcPr>
          <w:p w:rsidR="00C635EA" w:rsidRDefault="00C635EA">
            <w:pPr>
              <w:spacing w:after="0" w:line="276" w:lineRule="auto"/>
              <w:jc w:val="center"/>
              <w:rPr>
                <w:rFonts w:ascii="Calibri" w:hAnsi="Calibri"/>
                <w:i/>
              </w:rPr>
            </w:pPr>
            <w:r>
              <w:rPr>
                <w:rFonts w:ascii="Calibri" w:hAnsi="Calibri" w:cs="Calibri"/>
                <w:sz w:val="22"/>
              </w:rPr>
              <w:t>138951211.3.2</w:t>
            </w:r>
          </w:p>
        </w:tc>
        <w:tc>
          <w:tcPr>
            <w:tcW w:w="7374" w:type="dxa"/>
            <w:gridSpan w:val="3"/>
            <w:vAlign w:val="center"/>
          </w:tcPr>
          <w:p w:rsidR="00C635EA" w:rsidRDefault="00C635EA">
            <w:pPr>
              <w:spacing w:after="0" w:line="276" w:lineRule="auto"/>
              <w:jc w:val="center"/>
              <w:rPr>
                <w:rFonts w:ascii="Calibri" w:hAnsi="Calibri"/>
                <w:b/>
                <w:i/>
              </w:rPr>
            </w:pPr>
            <w:r>
              <w:rPr>
                <w:rFonts w:ascii="Calibri" w:hAnsi="Calibri"/>
                <w:b/>
                <w:i/>
                <w:sz w:val="22"/>
              </w:rPr>
              <w:t>Catheter-Associated Urinary Tract Infection (CAUTI) Rates</w:t>
            </w:r>
          </w:p>
        </w:tc>
      </w:tr>
      <w:tr w:rsidR="00C635EA">
        <w:trPr>
          <w:trHeight w:val="575"/>
          <w:tblHeader/>
          <w:jc w:val="center"/>
        </w:trPr>
        <w:tc>
          <w:tcPr>
            <w:tcW w:w="3459" w:type="dxa"/>
            <w:gridSpan w:val="2"/>
            <w:shd w:val="clear" w:color="auto" w:fill="000000"/>
          </w:tcPr>
          <w:p w:rsidR="00C635EA" w:rsidRDefault="00C635EA">
            <w:pPr>
              <w:spacing w:after="0" w:line="276" w:lineRule="auto"/>
              <w:jc w:val="center"/>
              <w:rPr>
                <w:rFonts w:ascii="Calibri" w:hAnsi="Calibri"/>
                <w:b/>
                <w:color w:val="FFFFFF"/>
              </w:rPr>
            </w:pPr>
            <w:r>
              <w:rPr>
                <w:rFonts w:ascii="Calibri" w:hAnsi="Calibri"/>
                <w:b/>
                <w:color w:val="FFFFFF"/>
                <w:sz w:val="22"/>
              </w:rPr>
              <w:t>Year 2</w:t>
            </w:r>
          </w:p>
          <w:p w:rsidR="00C635EA" w:rsidRDefault="00C635EA">
            <w:pPr>
              <w:spacing w:after="0" w:line="276" w:lineRule="auto"/>
              <w:jc w:val="center"/>
              <w:rPr>
                <w:rFonts w:ascii="Calibri" w:hAnsi="Calibri"/>
                <w:b/>
                <w:color w:val="FFFFFF"/>
              </w:rPr>
            </w:pPr>
            <w:r>
              <w:rPr>
                <w:rFonts w:ascii="Calibri" w:hAnsi="Calibri"/>
                <w:b/>
                <w:color w:val="FFFFFF"/>
                <w:sz w:val="22"/>
              </w:rPr>
              <w:t>(10/1/2012 – 9/30/2013)</w:t>
            </w:r>
          </w:p>
        </w:tc>
        <w:tc>
          <w:tcPr>
            <w:tcW w:w="3297" w:type="dxa"/>
            <w:gridSpan w:val="2"/>
            <w:shd w:val="clear" w:color="auto" w:fill="000000"/>
          </w:tcPr>
          <w:p w:rsidR="00C635EA" w:rsidRDefault="00C635EA">
            <w:pPr>
              <w:spacing w:after="0" w:line="276" w:lineRule="auto"/>
              <w:jc w:val="center"/>
              <w:rPr>
                <w:rFonts w:ascii="Calibri" w:hAnsi="Calibri"/>
                <w:b/>
                <w:color w:val="FFFFFF"/>
              </w:rPr>
            </w:pPr>
            <w:r>
              <w:rPr>
                <w:rFonts w:ascii="Calibri" w:hAnsi="Calibri"/>
                <w:b/>
                <w:color w:val="FFFFFF"/>
                <w:sz w:val="22"/>
              </w:rPr>
              <w:t>Year 3</w:t>
            </w:r>
          </w:p>
          <w:p w:rsidR="00C635EA" w:rsidRDefault="00C635EA">
            <w:pPr>
              <w:spacing w:after="0" w:line="276" w:lineRule="auto"/>
              <w:jc w:val="center"/>
              <w:rPr>
                <w:rFonts w:ascii="Calibri" w:hAnsi="Calibri"/>
                <w:b/>
                <w:color w:val="FFFFFF"/>
              </w:rPr>
            </w:pPr>
            <w:r>
              <w:rPr>
                <w:rFonts w:ascii="Calibri" w:hAnsi="Calibri"/>
                <w:b/>
                <w:color w:val="FFFFFF"/>
                <w:sz w:val="22"/>
              </w:rPr>
              <w:t>(10/1/2013 – 9/30/2014)</w:t>
            </w:r>
          </w:p>
        </w:tc>
        <w:tc>
          <w:tcPr>
            <w:tcW w:w="3684" w:type="dxa"/>
            <w:gridSpan w:val="2"/>
            <w:shd w:val="clear" w:color="auto" w:fill="000000"/>
          </w:tcPr>
          <w:p w:rsidR="00C635EA" w:rsidRDefault="00C635EA">
            <w:pPr>
              <w:spacing w:after="0" w:line="276" w:lineRule="auto"/>
              <w:jc w:val="center"/>
              <w:rPr>
                <w:rFonts w:ascii="Calibri" w:hAnsi="Calibri"/>
                <w:b/>
                <w:color w:val="FFFFFF"/>
              </w:rPr>
            </w:pPr>
            <w:r>
              <w:rPr>
                <w:rFonts w:ascii="Calibri" w:hAnsi="Calibri"/>
                <w:b/>
                <w:color w:val="FFFFFF"/>
                <w:sz w:val="22"/>
              </w:rPr>
              <w:t>Year 4</w:t>
            </w:r>
          </w:p>
          <w:p w:rsidR="00C635EA" w:rsidRDefault="00C635EA">
            <w:pPr>
              <w:spacing w:after="0" w:line="276" w:lineRule="auto"/>
              <w:jc w:val="center"/>
              <w:rPr>
                <w:rFonts w:ascii="Calibri" w:hAnsi="Calibri"/>
                <w:b/>
                <w:color w:val="FFFFFF"/>
              </w:rPr>
            </w:pPr>
            <w:r>
              <w:rPr>
                <w:rFonts w:ascii="Calibri" w:hAnsi="Calibri"/>
                <w:b/>
                <w:color w:val="FFFFFF"/>
                <w:sz w:val="22"/>
              </w:rPr>
              <w:t>(10/1/2014 – 9/30/2015)</w:t>
            </w:r>
          </w:p>
        </w:tc>
        <w:tc>
          <w:tcPr>
            <w:tcW w:w="3690" w:type="dxa"/>
            <w:shd w:val="clear" w:color="auto" w:fill="000000"/>
          </w:tcPr>
          <w:p w:rsidR="00C635EA" w:rsidRDefault="00C635EA">
            <w:pPr>
              <w:spacing w:after="0" w:line="276" w:lineRule="auto"/>
              <w:jc w:val="center"/>
              <w:rPr>
                <w:rFonts w:ascii="Calibri" w:hAnsi="Calibri"/>
                <w:b/>
                <w:color w:val="FFFFFF"/>
              </w:rPr>
            </w:pPr>
            <w:r>
              <w:rPr>
                <w:rFonts w:ascii="Calibri" w:hAnsi="Calibri"/>
                <w:b/>
                <w:color w:val="FFFFFF"/>
                <w:sz w:val="22"/>
              </w:rPr>
              <w:t>Year 5</w:t>
            </w:r>
          </w:p>
          <w:p w:rsidR="00C635EA" w:rsidRDefault="00C635EA">
            <w:pPr>
              <w:spacing w:after="0" w:line="276" w:lineRule="auto"/>
              <w:jc w:val="center"/>
              <w:rPr>
                <w:rFonts w:ascii="Calibri" w:hAnsi="Calibri"/>
                <w:b/>
                <w:color w:val="FFFFFF"/>
              </w:rPr>
            </w:pPr>
            <w:r>
              <w:rPr>
                <w:rFonts w:ascii="Calibri" w:hAnsi="Calibri"/>
                <w:b/>
                <w:color w:val="FFFFFF"/>
                <w:sz w:val="22"/>
              </w:rPr>
              <w:t>(10/1/2015 – 9/30/2016)</w:t>
            </w:r>
          </w:p>
        </w:tc>
      </w:tr>
      <w:tr w:rsidR="00C635EA">
        <w:trPr>
          <w:trHeight w:val="70"/>
          <w:jc w:val="center"/>
        </w:trPr>
        <w:tc>
          <w:tcPr>
            <w:tcW w:w="3459" w:type="dxa"/>
            <w:gridSpan w:val="2"/>
          </w:tcPr>
          <w:p w:rsidR="00C635EA" w:rsidRDefault="00C635EA">
            <w:pPr>
              <w:spacing w:after="0"/>
              <w:jc w:val="left"/>
              <w:rPr>
                <w:rFonts w:ascii="Calibri" w:hAnsi="Calibri" w:cs="Calibri"/>
                <w:sz w:val="20"/>
                <w:szCs w:val="20"/>
              </w:rPr>
            </w:pPr>
            <w:r>
              <w:rPr>
                <w:rFonts w:ascii="Calibri" w:hAnsi="Calibri" w:cs="Calibri"/>
                <w:b/>
                <w:sz w:val="20"/>
                <w:szCs w:val="20"/>
              </w:rPr>
              <w:t>Milestone 1</w:t>
            </w:r>
            <w:r>
              <w:rPr>
                <w:rFonts w:ascii="Calibri" w:hAnsi="Calibri" w:cs="Calibri"/>
                <w:sz w:val="20"/>
                <w:szCs w:val="20"/>
              </w:rPr>
              <w:t xml:space="preserve"> [P-3]: Participate in statewide, regional, public hospital, or national learning collaborative to drive targeted quality improvements. This should include collaboratives using clinical database(s) for standardized data sharing.</w:t>
            </w:r>
          </w:p>
          <w:p w:rsidR="00C635EA" w:rsidRDefault="00C635EA">
            <w:pPr>
              <w:spacing w:after="0"/>
              <w:jc w:val="left"/>
              <w:rPr>
                <w:rFonts w:ascii="Calibri" w:hAnsi="Calibri" w:cs="Calibri"/>
                <w:sz w:val="20"/>
                <w:szCs w:val="20"/>
              </w:rPr>
            </w:pPr>
          </w:p>
          <w:p w:rsidR="00C635EA" w:rsidRDefault="00C635EA">
            <w:pPr>
              <w:spacing w:after="0"/>
              <w:jc w:val="left"/>
              <w:rPr>
                <w:rFonts w:ascii="Calibri" w:hAnsi="Calibri" w:cs="Calibri"/>
                <w:sz w:val="20"/>
                <w:szCs w:val="20"/>
              </w:rPr>
            </w:pPr>
            <w:r>
              <w:rPr>
                <w:rFonts w:ascii="Calibri" w:hAnsi="Calibri" w:cs="Calibri"/>
                <w:sz w:val="20"/>
                <w:szCs w:val="20"/>
                <w:u w:val="single"/>
              </w:rPr>
              <w:t>Metric 1</w:t>
            </w:r>
            <w:r>
              <w:rPr>
                <w:rFonts w:ascii="Calibri" w:hAnsi="Calibri" w:cs="Calibri"/>
                <w:sz w:val="20"/>
                <w:szCs w:val="20"/>
              </w:rPr>
              <w:t xml:space="preserve"> [P-3.1]: Documentation of collaborative membership.</w:t>
            </w:r>
          </w:p>
          <w:p w:rsidR="00C635EA" w:rsidRDefault="00C635EA">
            <w:pPr>
              <w:spacing w:after="0"/>
              <w:ind w:left="258"/>
              <w:jc w:val="left"/>
              <w:rPr>
                <w:rFonts w:ascii="Calibri" w:hAnsi="Calibri" w:cs="Calibri"/>
                <w:sz w:val="20"/>
                <w:szCs w:val="20"/>
              </w:rPr>
            </w:pPr>
            <w:r>
              <w:rPr>
                <w:rFonts w:ascii="Calibri" w:hAnsi="Calibri" w:cs="Calibri"/>
                <w:sz w:val="20"/>
                <w:szCs w:val="20"/>
              </w:rPr>
              <w:t>Baseline/Goal: Membership in zero/one national collaboratives.</w:t>
            </w:r>
          </w:p>
          <w:p w:rsidR="00C635EA" w:rsidRDefault="00C635EA">
            <w:pPr>
              <w:spacing w:after="0"/>
              <w:ind w:left="258"/>
              <w:jc w:val="left"/>
              <w:rPr>
                <w:rFonts w:ascii="Calibri" w:hAnsi="Calibri" w:cs="Calibri"/>
                <w:sz w:val="20"/>
                <w:szCs w:val="20"/>
              </w:rPr>
            </w:pPr>
            <w:r>
              <w:rPr>
                <w:rFonts w:ascii="Calibri" w:hAnsi="Calibri" w:cs="Calibri"/>
                <w:sz w:val="20"/>
                <w:szCs w:val="20"/>
              </w:rPr>
              <w:t>Data Source: Collaborative membership materials.</w:t>
            </w:r>
          </w:p>
          <w:p w:rsidR="00C635EA" w:rsidRDefault="00C635EA">
            <w:pPr>
              <w:spacing w:after="0"/>
              <w:jc w:val="left"/>
              <w:rPr>
                <w:rFonts w:ascii="Calibri" w:hAnsi="Calibri" w:cs="Calibri"/>
                <w:sz w:val="20"/>
                <w:szCs w:val="20"/>
              </w:rPr>
            </w:pPr>
          </w:p>
          <w:p w:rsidR="00C635EA" w:rsidRDefault="00C635EA">
            <w:pPr>
              <w:spacing w:after="0"/>
              <w:jc w:val="left"/>
              <w:rPr>
                <w:rFonts w:ascii="Calibri" w:hAnsi="Calibri" w:cs="Calibri"/>
                <w:sz w:val="20"/>
                <w:szCs w:val="20"/>
              </w:rPr>
            </w:pPr>
            <w:r>
              <w:rPr>
                <w:rFonts w:ascii="Calibri" w:hAnsi="Calibri" w:cs="Calibri"/>
                <w:sz w:val="20"/>
                <w:szCs w:val="20"/>
              </w:rPr>
              <w:t xml:space="preserve">Milestone 1 Estimated Incentive Payment: </w:t>
            </w:r>
            <w:r>
              <w:rPr>
                <w:rFonts w:ascii="Calibri" w:hAnsi="Calibri" w:cs="Calibri"/>
                <w:sz w:val="20"/>
                <w:szCs w:val="20"/>
                <w:u w:val="single"/>
              </w:rPr>
              <w:t>$1,018,279</w:t>
            </w:r>
          </w:p>
          <w:p w:rsidR="00C635EA" w:rsidRDefault="00C635EA">
            <w:pPr>
              <w:spacing w:after="0"/>
              <w:jc w:val="left"/>
              <w:rPr>
                <w:rFonts w:ascii="Calibri" w:hAnsi="Calibri" w:cs="Calibri"/>
                <w:b/>
                <w:sz w:val="20"/>
                <w:szCs w:val="20"/>
              </w:rPr>
            </w:pPr>
          </w:p>
          <w:p w:rsidR="00C635EA" w:rsidRDefault="00C635EA">
            <w:pPr>
              <w:spacing w:after="0"/>
              <w:jc w:val="left"/>
              <w:rPr>
                <w:rFonts w:ascii="Calibri" w:hAnsi="Calibri" w:cs="Calibri"/>
                <w:b/>
                <w:sz w:val="20"/>
                <w:szCs w:val="20"/>
              </w:rPr>
            </w:pPr>
            <w:r>
              <w:rPr>
                <w:rFonts w:ascii="Calibri" w:hAnsi="Calibri" w:cs="Calibri"/>
                <w:b/>
                <w:sz w:val="20"/>
                <w:szCs w:val="20"/>
              </w:rPr>
              <w:t>Milestone 2</w:t>
            </w:r>
            <w:r>
              <w:rPr>
                <w:rFonts w:ascii="Calibri" w:hAnsi="Calibri" w:cs="Calibri"/>
                <w:sz w:val="20"/>
                <w:szCs w:val="20"/>
              </w:rPr>
              <w:t xml:space="preserve"> [CQI P-7]: Participate in at least bi‐weekly interactions (meetings, conference calls, or webinars) with other providers and the RHP to promote collaborative learning around shared or similar projects.</w:t>
            </w:r>
          </w:p>
          <w:p w:rsidR="00C635EA" w:rsidRDefault="00C635EA">
            <w:pPr>
              <w:spacing w:after="0"/>
              <w:jc w:val="left"/>
              <w:rPr>
                <w:rFonts w:ascii="Calibri" w:hAnsi="Calibri" w:cs="Calibri"/>
                <w:sz w:val="20"/>
                <w:szCs w:val="20"/>
              </w:rPr>
            </w:pPr>
          </w:p>
          <w:p w:rsidR="00C635EA" w:rsidRDefault="00C635EA">
            <w:pPr>
              <w:spacing w:after="0"/>
              <w:jc w:val="left"/>
              <w:rPr>
                <w:rFonts w:ascii="Calibri" w:hAnsi="Calibri" w:cs="Calibri"/>
                <w:sz w:val="20"/>
                <w:szCs w:val="20"/>
              </w:rPr>
            </w:pPr>
            <w:r>
              <w:rPr>
                <w:rFonts w:ascii="Calibri" w:hAnsi="Calibri" w:cs="Calibri"/>
                <w:sz w:val="20"/>
                <w:szCs w:val="20"/>
                <w:u w:val="single"/>
              </w:rPr>
              <w:t>Metric 1</w:t>
            </w:r>
            <w:r>
              <w:rPr>
                <w:rFonts w:ascii="Calibri" w:hAnsi="Calibri" w:cs="Calibri"/>
                <w:sz w:val="20"/>
                <w:szCs w:val="20"/>
              </w:rPr>
              <w:t xml:space="preserve"> [P-7.1]: Number of bi-weekly meetings, conference calls, or webinars organized by the RHP that the provider participated in.</w:t>
            </w:r>
          </w:p>
          <w:p w:rsidR="00C635EA" w:rsidRDefault="00C635EA">
            <w:pPr>
              <w:spacing w:after="0"/>
              <w:ind w:left="258"/>
              <w:jc w:val="left"/>
              <w:rPr>
                <w:rFonts w:ascii="Calibri" w:hAnsi="Calibri" w:cs="Calibri"/>
                <w:sz w:val="20"/>
                <w:szCs w:val="20"/>
              </w:rPr>
            </w:pPr>
            <w:r>
              <w:rPr>
                <w:rFonts w:ascii="Calibri" w:hAnsi="Calibri" w:cs="Calibri"/>
                <w:sz w:val="20"/>
                <w:szCs w:val="20"/>
              </w:rPr>
              <w:t>Baseline/Goal: n/a</w:t>
            </w:r>
          </w:p>
          <w:p w:rsidR="00C635EA" w:rsidRDefault="00C635EA">
            <w:pPr>
              <w:spacing w:after="0"/>
              <w:ind w:left="258"/>
              <w:jc w:val="left"/>
              <w:rPr>
                <w:rFonts w:ascii="Calibri" w:hAnsi="Calibri" w:cs="Calibri"/>
                <w:sz w:val="20"/>
                <w:szCs w:val="20"/>
              </w:rPr>
            </w:pPr>
            <w:r>
              <w:rPr>
                <w:rFonts w:ascii="Calibri" w:hAnsi="Calibri" w:cs="Calibri"/>
                <w:sz w:val="20"/>
                <w:szCs w:val="20"/>
              </w:rPr>
              <w:t>Data Source: Documentation of weekly or bi-weekly phone meetings, conference calls, or webinars, including agendas for phone calls, slides from webinars, and/or meeting notes.</w:t>
            </w:r>
          </w:p>
          <w:p w:rsidR="00C635EA" w:rsidRDefault="00C635EA">
            <w:pPr>
              <w:spacing w:after="0"/>
              <w:jc w:val="left"/>
              <w:rPr>
                <w:rFonts w:ascii="Calibri" w:hAnsi="Calibri" w:cs="Calibri"/>
                <w:sz w:val="20"/>
                <w:szCs w:val="20"/>
              </w:rPr>
            </w:pPr>
          </w:p>
          <w:p w:rsidR="00C635EA" w:rsidRDefault="00C635EA">
            <w:pPr>
              <w:spacing w:after="0"/>
              <w:jc w:val="left"/>
              <w:rPr>
                <w:rFonts w:ascii="Calibri" w:hAnsi="Calibri" w:cs="Calibri"/>
                <w:sz w:val="20"/>
                <w:szCs w:val="20"/>
              </w:rPr>
            </w:pPr>
            <w:r>
              <w:rPr>
                <w:rFonts w:ascii="Calibri" w:hAnsi="Calibri" w:cs="Calibri"/>
                <w:sz w:val="20"/>
                <w:szCs w:val="20"/>
              </w:rPr>
              <w:t xml:space="preserve">Milestone 2 Estimated Incentive Payment: </w:t>
            </w:r>
            <w:r>
              <w:rPr>
                <w:rFonts w:ascii="Calibri" w:hAnsi="Calibri" w:cs="Calibri"/>
                <w:sz w:val="20"/>
                <w:szCs w:val="20"/>
                <w:u w:val="single"/>
              </w:rPr>
              <w:t>$1,018,279</w:t>
            </w:r>
          </w:p>
          <w:p w:rsidR="00C635EA" w:rsidRDefault="00C635EA">
            <w:pPr>
              <w:spacing w:after="0"/>
              <w:jc w:val="left"/>
              <w:rPr>
                <w:rFonts w:ascii="Calibri" w:hAnsi="Calibri" w:cs="Calibri"/>
                <w:sz w:val="20"/>
                <w:szCs w:val="20"/>
              </w:rPr>
            </w:pPr>
          </w:p>
        </w:tc>
        <w:tc>
          <w:tcPr>
            <w:tcW w:w="3297" w:type="dxa"/>
            <w:gridSpan w:val="2"/>
          </w:tcPr>
          <w:p w:rsidR="00C635EA" w:rsidRDefault="00C635EA">
            <w:pPr>
              <w:spacing w:after="0"/>
              <w:jc w:val="left"/>
              <w:rPr>
                <w:rFonts w:ascii="Calibri" w:hAnsi="Calibri" w:cs="Calibri"/>
                <w:sz w:val="20"/>
                <w:szCs w:val="20"/>
              </w:rPr>
            </w:pPr>
            <w:r>
              <w:rPr>
                <w:rFonts w:ascii="Calibri" w:hAnsi="Calibri" w:cs="Calibri"/>
                <w:b/>
                <w:sz w:val="20"/>
                <w:szCs w:val="20"/>
              </w:rPr>
              <w:t>Milestone 3</w:t>
            </w:r>
            <w:r>
              <w:rPr>
                <w:rFonts w:ascii="Calibri" w:hAnsi="Calibri" w:cs="Calibri"/>
                <w:sz w:val="20"/>
                <w:szCs w:val="20"/>
              </w:rPr>
              <w:t xml:space="preserve"> [P-6]: Hire/train quality improvement staff in well-proven quality and efficiency improvement principles, tools, and processes, such as rapid-cycle improvement and/or data and analytics staff for reporting purposes (e.g., to measure improvement and trends).</w:t>
            </w:r>
          </w:p>
          <w:p w:rsidR="00C635EA" w:rsidRDefault="00C635EA">
            <w:pPr>
              <w:spacing w:after="0"/>
              <w:jc w:val="left"/>
              <w:rPr>
                <w:rFonts w:ascii="Calibri" w:hAnsi="Calibri" w:cs="Calibri"/>
                <w:sz w:val="20"/>
                <w:szCs w:val="20"/>
              </w:rPr>
            </w:pPr>
          </w:p>
          <w:p w:rsidR="00C635EA" w:rsidRDefault="00C635EA">
            <w:pPr>
              <w:spacing w:after="0"/>
              <w:jc w:val="left"/>
              <w:rPr>
                <w:rFonts w:ascii="Calibri" w:hAnsi="Calibri" w:cs="Calibri"/>
                <w:sz w:val="20"/>
                <w:szCs w:val="20"/>
              </w:rPr>
            </w:pPr>
            <w:r>
              <w:rPr>
                <w:rFonts w:ascii="Calibri" w:hAnsi="Calibri" w:cs="Calibri"/>
                <w:sz w:val="20"/>
                <w:szCs w:val="20"/>
                <w:u w:val="single"/>
              </w:rPr>
              <w:t>Metric 1</w:t>
            </w:r>
            <w:r>
              <w:rPr>
                <w:rFonts w:ascii="Calibri" w:hAnsi="Calibri" w:cs="Calibri"/>
                <w:sz w:val="20"/>
                <w:szCs w:val="20"/>
              </w:rPr>
              <w:t xml:space="preserve"> [P-6.1]: Increase number of staff trained in quality and efficiency improvement principles.</w:t>
            </w:r>
          </w:p>
          <w:p w:rsidR="00C635EA" w:rsidRDefault="00C635EA">
            <w:pPr>
              <w:spacing w:after="0"/>
              <w:ind w:left="258"/>
              <w:jc w:val="left"/>
              <w:rPr>
                <w:rFonts w:ascii="Calibri" w:hAnsi="Calibri" w:cs="Calibri"/>
                <w:sz w:val="20"/>
                <w:szCs w:val="20"/>
              </w:rPr>
            </w:pPr>
            <w:r>
              <w:rPr>
                <w:rFonts w:ascii="Calibri" w:hAnsi="Calibri" w:cs="Calibri"/>
                <w:sz w:val="20"/>
                <w:szCs w:val="20"/>
              </w:rPr>
              <w:t>Baseline/Goal: I</w:t>
            </w:r>
            <w:bookmarkStart w:id="0" w:name="_GoBack"/>
            <w:bookmarkEnd w:id="0"/>
            <w:r>
              <w:rPr>
                <w:rFonts w:ascii="Calibri" w:hAnsi="Calibri" w:cs="Calibri"/>
                <w:sz w:val="20"/>
                <w:szCs w:val="20"/>
              </w:rPr>
              <w:t>ncrease baseline of 7% of trained staff to goal of 13% over DY1.</w:t>
            </w:r>
          </w:p>
          <w:p w:rsidR="00C635EA" w:rsidRDefault="00C635EA">
            <w:pPr>
              <w:spacing w:after="0"/>
              <w:ind w:left="258"/>
              <w:jc w:val="left"/>
              <w:rPr>
                <w:rFonts w:ascii="Calibri" w:hAnsi="Calibri" w:cs="Calibri"/>
                <w:sz w:val="20"/>
                <w:szCs w:val="20"/>
              </w:rPr>
            </w:pPr>
            <w:r>
              <w:rPr>
                <w:rFonts w:ascii="Calibri" w:hAnsi="Calibri" w:cs="Calibri"/>
                <w:sz w:val="20"/>
                <w:szCs w:val="20"/>
              </w:rPr>
              <w:t>Numerator: Number of staff trained</w:t>
            </w:r>
          </w:p>
          <w:p w:rsidR="00C635EA" w:rsidRDefault="00C635EA">
            <w:pPr>
              <w:spacing w:after="0"/>
              <w:ind w:left="258"/>
              <w:jc w:val="left"/>
              <w:rPr>
                <w:rFonts w:ascii="Calibri" w:hAnsi="Calibri" w:cs="Calibri"/>
                <w:sz w:val="20"/>
                <w:szCs w:val="20"/>
              </w:rPr>
            </w:pPr>
            <w:r>
              <w:rPr>
                <w:rFonts w:ascii="Calibri" w:hAnsi="Calibri" w:cs="Calibri"/>
                <w:sz w:val="20"/>
                <w:szCs w:val="20"/>
              </w:rPr>
              <w:t>Denominator: Total number of staff</w:t>
            </w:r>
          </w:p>
          <w:p w:rsidR="00C635EA" w:rsidRDefault="00C635EA">
            <w:pPr>
              <w:spacing w:after="0"/>
              <w:ind w:left="258"/>
              <w:jc w:val="left"/>
              <w:rPr>
                <w:rFonts w:ascii="Calibri" w:hAnsi="Calibri" w:cs="Calibri"/>
                <w:sz w:val="20"/>
                <w:szCs w:val="20"/>
              </w:rPr>
            </w:pPr>
            <w:r>
              <w:rPr>
                <w:rFonts w:ascii="Calibri" w:hAnsi="Calibri" w:cs="Calibri"/>
                <w:sz w:val="20"/>
                <w:szCs w:val="20"/>
              </w:rPr>
              <w:t>Data Source: HR; training programs.</w:t>
            </w:r>
          </w:p>
          <w:p w:rsidR="00C635EA" w:rsidRDefault="00C635EA">
            <w:pPr>
              <w:spacing w:after="0"/>
              <w:jc w:val="left"/>
              <w:rPr>
                <w:rFonts w:ascii="Calibri" w:hAnsi="Calibri" w:cs="Calibri"/>
                <w:sz w:val="20"/>
                <w:szCs w:val="20"/>
              </w:rPr>
            </w:pPr>
          </w:p>
          <w:p w:rsidR="00C635EA" w:rsidRDefault="00C635EA">
            <w:pPr>
              <w:spacing w:after="0"/>
              <w:jc w:val="left"/>
              <w:rPr>
                <w:rFonts w:ascii="Calibri" w:hAnsi="Calibri" w:cs="Calibri"/>
                <w:sz w:val="20"/>
                <w:szCs w:val="20"/>
              </w:rPr>
            </w:pPr>
            <w:r>
              <w:rPr>
                <w:rFonts w:ascii="Calibri" w:hAnsi="Calibri" w:cs="Calibri"/>
                <w:sz w:val="20"/>
                <w:szCs w:val="20"/>
              </w:rPr>
              <w:t xml:space="preserve">Milestone 3 Estimated Incentive Payment: </w:t>
            </w:r>
            <w:r>
              <w:rPr>
                <w:rFonts w:ascii="Calibri" w:hAnsi="Calibri" w:cs="Calibri"/>
                <w:sz w:val="20"/>
                <w:szCs w:val="20"/>
                <w:u w:val="single"/>
              </w:rPr>
              <w:t>$1,110,888</w:t>
            </w:r>
          </w:p>
          <w:p w:rsidR="00C635EA" w:rsidRDefault="00C635EA">
            <w:pPr>
              <w:spacing w:after="0"/>
              <w:jc w:val="left"/>
              <w:rPr>
                <w:rFonts w:ascii="Calibri" w:hAnsi="Calibri" w:cs="Calibri"/>
                <w:sz w:val="20"/>
                <w:szCs w:val="20"/>
              </w:rPr>
            </w:pPr>
          </w:p>
          <w:p w:rsidR="00C635EA" w:rsidRDefault="00C635EA">
            <w:pPr>
              <w:spacing w:after="0"/>
              <w:jc w:val="left"/>
              <w:rPr>
                <w:rFonts w:ascii="Calibri" w:hAnsi="Calibri" w:cs="Calibri"/>
                <w:b/>
                <w:sz w:val="20"/>
                <w:szCs w:val="20"/>
              </w:rPr>
            </w:pPr>
            <w:r>
              <w:rPr>
                <w:rFonts w:ascii="Calibri" w:hAnsi="Calibri" w:cs="Calibri"/>
                <w:b/>
                <w:sz w:val="20"/>
                <w:szCs w:val="20"/>
              </w:rPr>
              <w:t>Milestone 4</w:t>
            </w:r>
            <w:r>
              <w:rPr>
                <w:rFonts w:ascii="Calibri" w:hAnsi="Calibri" w:cs="Calibri"/>
                <w:sz w:val="20"/>
                <w:szCs w:val="20"/>
              </w:rPr>
              <w:t xml:space="preserve"> [CQI P-7]: Participate in at least bi‐weekly interactions (meetings, conference calls, or webinars) with other providers and the RHP to promote collaborative learning around shared or similar projects.</w:t>
            </w:r>
          </w:p>
          <w:p w:rsidR="00C635EA" w:rsidRDefault="00C635EA">
            <w:pPr>
              <w:spacing w:after="0"/>
              <w:jc w:val="left"/>
              <w:rPr>
                <w:rFonts w:ascii="Calibri" w:hAnsi="Calibri" w:cs="Calibri"/>
                <w:sz w:val="20"/>
                <w:szCs w:val="20"/>
              </w:rPr>
            </w:pPr>
          </w:p>
          <w:p w:rsidR="00C635EA" w:rsidRDefault="00C635EA">
            <w:pPr>
              <w:spacing w:after="0"/>
              <w:jc w:val="left"/>
              <w:rPr>
                <w:rFonts w:ascii="Calibri" w:hAnsi="Calibri" w:cs="Calibri"/>
                <w:sz w:val="20"/>
                <w:szCs w:val="20"/>
              </w:rPr>
            </w:pPr>
            <w:r>
              <w:rPr>
                <w:rFonts w:ascii="Calibri" w:hAnsi="Calibri" w:cs="Calibri"/>
                <w:sz w:val="20"/>
                <w:szCs w:val="20"/>
                <w:u w:val="single"/>
              </w:rPr>
              <w:t>Metric 1</w:t>
            </w:r>
            <w:r>
              <w:rPr>
                <w:rFonts w:ascii="Calibri" w:hAnsi="Calibri" w:cs="Calibri"/>
                <w:sz w:val="20"/>
                <w:szCs w:val="20"/>
              </w:rPr>
              <w:t xml:space="preserve"> [P-7.1]: Number of bi-weekly meetings, conference calls, or webinars organized by the RHP that the provider participated in.</w:t>
            </w:r>
          </w:p>
          <w:p w:rsidR="00C635EA" w:rsidRDefault="00C635EA">
            <w:pPr>
              <w:spacing w:after="0"/>
              <w:ind w:left="258"/>
              <w:jc w:val="left"/>
              <w:rPr>
                <w:rFonts w:ascii="Calibri" w:hAnsi="Calibri" w:cs="Calibri"/>
                <w:sz w:val="20"/>
                <w:szCs w:val="20"/>
              </w:rPr>
            </w:pPr>
            <w:r>
              <w:rPr>
                <w:rFonts w:ascii="Calibri" w:hAnsi="Calibri" w:cs="Calibri"/>
                <w:sz w:val="20"/>
                <w:szCs w:val="20"/>
              </w:rPr>
              <w:t>Baseline/Goal: n/a</w:t>
            </w:r>
          </w:p>
          <w:p w:rsidR="00C635EA" w:rsidRDefault="00C635EA">
            <w:pPr>
              <w:spacing w:after="0"/>
              <w:ind w:left="258"/>
              <w:jc w:val="left"/>
              <w:rPr>
                <w:rFonts w:ascii="Calibri" w:hAnsi="Calibri" w:cs="Calibri"/>
                <w:sz w:val="20"/>
                <w:szCs w:val="20"/>
              </w:rPr>
            </w:pPr>
            <w:r>
              <w:rPr>
                <w:rFonts w:ascii="Calibri" w:hAnsi="Calibri" w:cs="Calibri"/>
                <w:sz w:val="20"/>
                <w:szCs w:val="20"/>
              </w:rPr>
              <w:t>Data Source: Documentation of weekly or bi-weekly phone meetings, conference calls, or webinars, including agendas for phone calls, slides from webinars, and/or meeting notes.</w:t>
            </w:r>
          </w:p>
          <w:p w:rsidR="00C635EA" w:rsidRDefault="00C635EA">
            <w:pPr>
              <w:spacing w:after="0"/>
              <w:jc w:val="left"/>
              <w:rPr>
                <w:rFonts w:ascii="Calibri" w:hAnsi="Calibri" w:cs="Calibri"/>
                <w:sz w:val="20"/>
                <w:szCs w:val="20"/>
              </w:rPr>
            </w:pPr>
          </w:p>
          <w:p w:rsidR="00C635EA" w:rsidRDefault="00C635EA">
            <w:pPr>
              <w:spacing w:after="0"/>
              <w:jc w:val="left"/>
              <w:rPr>
                <w:rFonts w:ascii="Calibri" w:hAnsi="Calibri" w:cs="Calibri"/>
                <w:sz w:val="20"/>
                <w:szCs w:val="20"/>
              </w:rPr>
            </w:pPr>
            <w:r>
              <w:rPr>
                <w:rFonts w:ascii="Calibri" w:hAnsi="Calibri" w:cs="Calibri"/>
                <w:sz w:val="20"/>
                <w:szCs w:val="20"/>
              </w:rPr>
              <w:t xml:space="preserve">Milestone 4 Estimated Incentive Payment: </w:t>
            </w:r>
            <w:r>
              <w:rPr>
                <w:rFonts w:ascii="Calibri" w:hAnsi="Calibri" w:cs="Calibri"/>
                <w:sz w:val="20"/>
                <w:szCs w:val="20"/>
                <w:u w:val="single"/>
              </w:rPr>
              <w:t>$1,110,888</w:t>
            </w:r>
          </w:p>
          <w:p w:rsidR="00C635EA" w:rsidRDefault="00C635EA">
            <w:pPr>
              <w:spacing w:after="0"/>
              <w:jc w:val="left"/>
              <w:rPr>
                <w:rFonts w:ascii="Calibri" w:hAnsi="Calibri" w:cs="Calibri"/>
                <w:sz w:val="20"/>
                <w:szCs w:val="20"/>
              </w:rPr>
            </w:pPr>
          </w:p>
        </w:tc>
        <w:tc>
          <w:tcPr>
            <w:tcW w:w="3684" w:type="dxa"/>
            <w:gridSpan w:val="2"/>
          </w:tcPr>
          <w:p w:rsidR="00C635EA" w:rsidRDefault="00C635EA">
            <w:pPr>
              <w:spacing w:after="0"/>
              <w:jc w:val="left"/>
              <w:rPr>
                <w:rFonts w:ascii="Calibri" w:hAnsi="Calibri" w:cs="Calibri"/>
                <w:sz w:val="20"/>
                <w:szCs w:val="20"/>
              </w:rPr>
            </w:pPr>
            <w:r>
              <w:rPr>
                <w:rFonts w:ascii="Calibri" w:hAnsi="Calibri" w:cs="Calibri"/>
                <w:b/>
                <w:sz w:val="20"/>
                <w:szCs w:val="20"/>
              </w:rPr>
              <w:t>Milestone 5</w:t>
            </w:r>
            <w:r>
              <w:rPr>
                <w:rFonts w:ascii="Calibri" w:hAnsi="Calibri" w:cs="Calibri"/>
                <w:sz w:val="20"/>
                <w:szCs w:val="20"/>
              </w:rPr>
              <w:t xml:space="preserve"> [I-7]: Implement quality improvement data systems, collection, and reporting capabilities.</w:t>
            </w:r>
          </w:p>
          <w:p w:rsidR="00C635EA" w:rsidRDefault="00C635EA">
            <w:pPr>
              <w:spacing w:after="0"/>
              <w:jc w:val="left"/>
              <w:rPr>
                <w:rFonts w:ascii="Calibri" w:hAnsi="Calibri" w:cs="Calibri"/>
                <w:sz w:val="20"/>
                <w:szCs w:val="20"/>
              </w:rPr>
            </w:pPr>
          </w:p>
          <w:p w:rsidR="00C635EA" w:rsidRDefault="00C635EA">
            <w:pPr>
              <w:spacing w:after="0"/>
              <w:jc w:val="left"/>
              <w:rPr>
                <w:rFonts w:ascii="Calibri" w:hAnsi="Calibri" w:cs="Calibri"/>
                <w:sz w:val="20"/>
                <w:szCs w:val="20"/>
              </w:rPr>
            </w:pPr>
            <w:r>
              <w:rPr>
                <w:rFonts w:ascii="Calibri" w:hAnsi="Calibri" w:cs="Calibri"/>
                <w:sz w:val="20"/>
                <w:szCs w:val="20"/>
                <w:u w:val="single"/>
              </w:rPr>
              <w:t>Metric 1</w:t>
            </w:r>
            <w:r>
              <w:rPr>
                <w:rFonts w:ascii="Calibri" w:hAnsi="Calibri" w:cs="Calibri"/>
                <w:sz w:val="20"/>
                <w:szCs w:val="20"/>
              </w:rPr>
              <w:t xml:space="preserve"> [I-7.1]: Increase the number of reports generated through these quality improvement data systems.</w:t>
            </w:r>
          </w:p>
          <w:p w:rsidR="00C635EA" w:rsidRDefault="00C635EA">
            <w:pPr>
              <w:spacing w:after="0"/>
              <w:ind w:left="258"/>
              <w:jc w:val="left"/>
              <w:rPr>
                <w:rFonts w:ascii="Calibri" w:hAnsi="Calibri" w:cs="Calibri"/>
                <w:sz w:val="20"/>
                <w:szCs w:val="20"/>
              </w:rPr>
            </w:pPr>
            <w:r>
              <w:rPr>
                <w:rFonts w:ascii="Calibri" w:hAnsi="Calibri" w:cs="Calibri"/>
                <w:sz w:val="20"/>
                <w:szCs w:val="20"/>
              </w:rPr>
              <w:t>Baseline/Goal: Increase the number of reports generated over DY1 by generating reports from 3 systems.</w:t>
            </w:r>
          </w:p>
          <w:p w:rsidR="00C635EA" w:rsidRDefault="00C635EA">
            <w:pPr>
              <w:spacing w:after="0"/>
              <w:ind w:left="258"/>
              <w:jc w:val="left"/>
              <w:rPr>
                <w:rFonts w:ascii="Calibri" w:hAnsi="Calibri" w:cs="Calibri"/>
                <w:sz w:val="20"/>
                <w:szCs w:val="20"/>
              </w:rPr>
            </w:pPr>
            <w:r>
              <w:rPr>
                <w:rFonts w:ascii="Calibri" w:hAnsi="Calibri" w:cs="Calibri"/>
                <w:sz w:val="20"/>
                <w:szCs w:val="20"/>
              </w:rPr>
              <w:t>Data Source: Quality improvement data systems.</w:t>
            </w:r>
          </w:p>
          <w:p w:rsidR="00C635EA" w:rsidRDefault="00C635EA">
            <w:pPr>
              <w:spacing w:after="0"/>
              <w:jc w:val="left"/>
              <w:rPr>
                <w:rFonts w:ascii="Calibri" w:hAnsi="Calibri" w:cs="Calibri"/>
                <w:sz w:val="20"/>
                <w:szCs w:val="20"/>
              </w:rPr>
            </w:pPr>
          </w:p>
          <w:p w:rsidR="00C635EA" w:rsidRDefault="00C635EA">
            <w:pPr>
              <w:spacing w:after="0"/>
              <w:jc w:val="left"/>
              <w:rPr>
                <w:rFonts w:ascii="Calibri" w:hAnsi="Calibri" w:cs="Calibri"/>
                <w:sz w:val="20"/>
                <w:szCs w:val="20"/>
              </w:rPr>
            </w:pPr>
            <w:r>
              <w:rPr>
                <w:rFonts w:ascii="Calibri" w:hAnsi="Calibri" w:cs="Calibri"/>
                <w:sz w:val="20"/>
                <w:szCs w:val="20"/>
              </w:rPr>
              <w:t xml:space="preserve">Milestone 5 Estimated Incentive Payment: </w:t>
            </w:r>
            <w:r>
              <w:rPr>
                <w:rFonts w:ascii="Calibri" w:hAnsi="Calibri"/>
                <w:sz w:val="20"/>
                <w:szCs w:val="20"/>
                <w:u w:val="single"/>
              </w:rPr>
              <w:t>$2,228,235</w:t>
            </w:r>
          </w:p>
          <w:p w:rsidR="00C635EA" w:rsidRDefault="00C635EA">
            <w:pPr>
              <w:spacing w:after="0"/>
              <w:jc w:val="left"/>
              <w:rPr>
                <w:rFonts w:ascii="Calibri" w:hAnsi="Calibri"/>
              </w:rPr>
            </w:pPr>
          </w:p>
        </w:tc>
        <w:tc>
          <w:tcPr>
            <w:tcW w:w="3690" w:type="dxa"/>
          </w:tcPr>
          <w:p w:rsidR="00C635EA" w:rsidRDefault="00C635EA">
            <w:pPr>
              <w:spacing w:after="0"/>
              <w:jc w:val="left"/>
              <w:rPr>
                <w:rFonts w:ascii="Calibri" w:hAnsi="Calibri" w:cs="Calibri"/>
                <w:sz w:val="20"/>
                <w:szCs w:val="20"/>
              </w:rPr>
            </w:pPr>
            <w:r>
              <w:rPr>
                <w:rFonts w:ascii="Calibri" w:hAnsi="Calibri" w:cs="Calibri"/>
                <w:b/>
                <w:sz w:val="20"/>
                <w:szCs w:val="20"/>
              </w:rPr>
              <w:t>Milestone 6</w:t>
            </w:r>
            <w:r>
              <w:rPr>
                <w:rFonts w:ascii="Calibri" w:hAnsi="Calibri" w:cs="Calibri"/>
                <w:sz w:val="20"/>
                <w:szCs w:val="20"/>
              </w:rPr>
              <w:t xml:space="preserve"> [I-7]: Implement quality improvement data systems, collection, and reporting capabilities.</w:t>
            </w:r>
          </w:p>
          <w:p w:rsidR="00C635EA" w:rsidRDefault="00C635EA">
            <w:pPr>
              <w:spacing w:after="0"/>
              <w:jc w:val="left"/>
              <w:rPr>
                <w:rFonts w:ascii="Calibri" w:hAnsi="Calibri" w:cs="Calibri"/>
                <w:sz w:val="20"/>
                <w:szCs w:val="20"/>
              </w:rPr>
            </w:pPr>
          </w:p>
          <w:p w:rsidR="00C635EA" w:rsidRDefault="00C635EA">
            <w:pPr>
              <w:spacing w:after="0"/>
              <w:jc w:val="left"/>
              <w:rPr>
                <w:rFonts w:ascii="Calibri" w:hAnsi="Calibri" w:cs="Calibri"/>
                <w:sz w:val="20"/>
                <w:szCs w:val="20"/>
              </w:rPr>
            </w:pPr>
            <w:r>
              <w:rPr>
                <w:rFonts w:ascii="Calibri" w:hAnsi="Calibri" w:cs="Calibri"/>
                <w:sz w:val="20"/>
                <w:szCs w:val="20"/>
                <w:u w:val="single"/>
              </w:rPr>
              <w:t>Metric 1</w:t>
            </w:r>
            <w:r>
              <w:rPr>
                <w:rFonts w:ascii="Calibri" w:hAnsi="Calibri" w:cs="Calibri"/>
                <w:sz w:val="20"/>
                <w:szCs w:val="20"/>
              </w:rPr>
              <w:t xml:space="preserve"> [I-7.1]: Increase the number of reports generated through these quality improvement data systems.</w:t>
            </w:r>
          </w:p>
          <w:p w:rsidR="00C635EA" w:rsidRDefault="00C635EA">
            <w:pPr>
              <w:spacing w:after="0"/>
              <w:ind w:left="258"/>
              <w:jc w:val="left"/>
              <w:rPr>
                <w:rFonts w:ascii="Calibri" w:hAnsi="Calibri" w:cs="Calibri"/>
                <w:sz w:val="20"/>
                <w:szCs w:val="20"/>
              </w:rPr>
            </w:pPr>
            <w:r>
              <w:rPr>
                <w:rFonts w:ascii="Calibri" w:hAnsi="Calibri" w:cs="Calibri"/>
                <w:sz w:val="20"/>
                <w:szCs w:val="20"/>
              </w:rPr>
              <w:t>Baseline/Goal: Increase the number of reports generated over DY1 by generating reports from 7 systems.</w:t>
            </w:r>
          </w:p>
          <w:p w:rsidR="00C635EA" w:rsidRDefault="00C635EA">
            <w:pPr>
              <w:spacing w:after="0"/>
              <w:ind w:left="258"/>
              <w:jc w:val="left"/>
              <w:rPr>
                <w:rFonts w:ascii="Calibri" w:hAnsi="Calibri" w:cs="Calibri"/>
                <w:sz w:val="20"/>
                <w:szCs w:val="20"/>
              </w:rPr>
            </w:pPr>
            <w:r>
              <w:rPr>
                <w:rFonts w:ascii="Calibri" w:hAnsi="Calibri" w:cs="Calibri"/>
                <w:sz w:val="20"/>
                <w:szCs w:val="20"/>
              </w:rPr>
              <w:t>Data Source: Quality improvement data systems.</w:t>
            </w:r>
          </w:p>
          <w:p w:rsidR="00C635EA" w:rsidRDefault="00C635EA">
            <w:pPr>
              <w:spacing w:after="0"/>
              <w:jc w:val="left"/>
              <w:rPr>
                <w:rFonts w:ascii="Calibri" w:hAnsi="Calibri" w:cs="Calibri"/>
                <w:sz w:val="20"/>
                <w:szCs w:val="20"/>
              </w:rPr>
            </w:pPr>
          </w:p>
          <w:p w:rsidR="00C635EA" w:rsidRDefault="00C635EA">
            <w:pPr>
              <w:spacing w:after="0"/>
              <w:jc w:val="left"/>
              <w:rPr>
                <w:rFonts w:ascii="Calibri" w:hAnsi="Calibri" w:cs="Calibri"/>
                <w:sz w:val="20"/>
                <w:szCs w:val="20"/>
              </w:rPr>
            </w:pPr>
            <w:r>
              <w:rPr>
                <w:rFonts w:ascii="Calibri" w:hAnsi="Calibri" w:cs="Calibri"/>
                <w:sz w:val="20"/>
                <w:szCs w:val="20"/>
              </w:rPr>
              <w:t xml:space="preserve">Milestone 6 Estimated Incentive Payment: </w:t>
            </w:r>
            <w:r>
              <w:rPr>
                <w:rFonts w:ascii="Calibri" w:hAnsi="Calibri"/>
                <w:sz w:val="20"/>
                <w:szCs w:val="20"/>
                <w:u w:val="single"/>
              </w:rPr>
              <w:t>$1,840,716</w:t>
            </w:r>
          </w:p>
          <w:p w:rsidR="00C635EA" w:rsidRDefault="00C635EA">
            <w:pPr>
              <w:spacing w:after="0"/>
              <w:jc w:val="left"/>
              <w:rPr>
                <w:rFonts w:ascii="Calibri" w:hAnsi="Calibri"/>
              </w:rPr>
            </w:pPr>
          </w:p>
        </w:tc>
      </w:tr>
      <w:tr w:rsidR="00C635EA">
        <w:trPr>
          <w:trHeight w:val="529"/>
          <w:jc w:val="center"/>
        </w:trPr>
        <w:tc>
          <w:tcPr>
            <w:tcW w:w="3459" w:type="dxa"/>
            <w:gridSpan w:val="2"/>
          </w:tcPr>
          <w:p w:rsidR="00C635EA" w:rsidRDefault="00C635EA">
            <w:pPr>
              <w:spacing w:after="0"/>
              <w:jc w:val="left"/>
              <w:rPr>
                <w:rFonts w:ascii="Calibri" w:hAnsi="Calibri"/>
                <w:sz w:val="20"/>
                <w:szCs w:val="20"/>
              </w:rPr>
            </w:pPr>
            <w:r>
              <w:rPr>
                <w:rFonts w:ascii="Calibri" w:hAnsi="Calibri"/>
                <w:sz w:val="20"/>
                <w:szCs w:val="20"/>
              </w:rPr>
              <w:t xml:space="preserve">Year 2 Estimated Milestone Bundle Amount: </w:t>
            </w:r>
            <w:r>
              <w:rPr>
                <w:rFonts w:ascii="Calibri" w:hAnsi="Calibri" w:cs="Calibri"/>
                <w:sz w:val="20"/>
                <w:szCs w:val="20"/>
                <w:u w:val="single"/>
              </w:rPr>
              <w:t>$2,036,558</w:t>
            </w:r>
          </w:p>
        </w:tc>
        <w:tc>
          <w:tcPr>
            <w:tcW w:w="3297" w:type="dxa"/>
            <w:gridSpan w:val="2"/>
          </w:tcPr>
          <w:p w:rsidR="00C635EA" w:rsidRDefault="00C635EA">
            <w:pPr>
              <w:spacing w:after="0"/>
              <w:jc w:val="left"/>
              <w:rPr>
                <w:rFonts w:ascii="Calibri" w:hAnsi="Calibri"/>
                <w:sz w:val="20"/>
                <w:szCs w:val="20"/>
              </w:rPr>
            </w:pPr>
            <w:r>
              <w:rPr>
                <w:rFonts w:ascii="Calibri" w:hAnsi="Calibri"/>
                <w:sz w:val="20"/>
                <w:szCs w:val="20"/>
              </w:rPr>
              <w:t xml:space="preserve">Year 3 Estimated Milestone Bundle Amount: </w:t>
            </w:r>
            <w:r>
              <w:rPr>
                <w:rFonts w:ascii="Calibri" w:hAnsi="Calibri"/>
                <w:sz w:val="20"/>
                <w:szCs w:val="20"/>
                <w:u w:val="single"/>
              </w:rPr>
              <w:t>$2,221,776</w:t>
            </w:r>
          </w:p>
        </w:tc>
        <w:tc>
          <w:tcPr>
            <w:tcW w:w="3684" w:type="dxa"/>
            <w:gridSpan w:val="2"/>
          </w:tcPr>
          <w:p w:rsidR="00C635EA" w:rsidRDefault="00C635EA">
            <w:pPr>
              <w:spacing w:after="0"/>
              <w:jc w:val="left"/>
              <w:rPr>
                <w:rFonts w:ascii="Calibri" w:hAnsi="Calibri"/>
                <w:sz w:val="20"/>
                <w:szCs w:val="20"/>
              </w:rPr>
            </w:pPr>
            <w:r>
              <w:rPr>
                <w:rFonts w:ascii="Calibri" w:hAnsi="Calibri"/>
                <w:sz w:val="20"/>
                <w:szCs w:val="20"/>
              </w:rPr>
              <w:t xml:space="preserve">Year 4 Estimated Milestone Bundle Amount: </w:t>
            </w:r>
            <w:r>
              <w:rPr>
                <w:rFonts w:ascii="Calibri" w:hAnsi="Calibri"/>
                <w:sz w:val="20"/>
                <w:szCs w:val="20"/>
                <w:u w:val="single"/>
              </w:rPr>
              <w:t>$2,228,235</w:t>
            </w:r>
          </w:p>
        </w:tc>
        <w:tc>
          <w:tcPr>
            <w:tcW w:w="3690" w:type="dxa"/>
          </w:tcPr>
          <w:p w:rsidR="00C635EA" w:rsidRDefault="00C635EA">
            <w:pPr>
              <w:spacing w:after="0"/>
              <w:jc w:val="left"/>
              <w:rPr>
                <w:rFonts w:ascii="Calibri" w:hAnsi="Calibri"/>
                <w:sz w:val="20"/>
                <w:szCs w:val="20"/>
              </w:rPr>
            </w:pPr>
            <w:r>
              <w:rPr>
                <w:rFonts w:ascii="Calibri" w:hAnsi="Calibri"/>
                <w:sz w:val="20"/>
                <w:szCs w:val="20"/>
              </w:rPr>
              <w:t xml:space="preserve">Year 5 Estimated Milestone Bundle Amount: </w:t>
            </w:r>
            <w:r>
              <w:rPr>
                <w:rFonts w:ascii="Calibri" w:hAnsi="Calibri"/>
                <w:sz w:val="20"/>
                <w:szCs w:val="20"/>
                <w:u w:val="single"/>
              </w:rPr>
              <w:t>$1,840,716</w:t>
            </w:r>
          </w:p>
        </w:tc>
      </w:tr>
      <w:tr w:rsidR="00C635EA">
        <w:trPr>
          <w:trHeight w:val="377"/>
          <w:jc w:val="center"/>
        </w:trPr>
        <w:tc>
          <w:tcPr>
            <w:tcW w:w="14130" w:type="dxa"/>
            <w:gridSpan w:val="7"/>
          </w:tcPr>
          <w:p w:rsidR="00C635EA" w:rsidRDefault="00C635EA">
            <w:pPr>
              <w:spacing w:after="0"/>
              <w:jc w:val="left"/>
              <w:rPr>
                <w:rFonts w:ascii="Calibri" w:hAnsi="Calibri"/>
              </w:rPr>
            </w:pPr>
            <w:r>
              <w:rPr>
                <w:rFonts w:ascii="Calibri" w:hAnsi="Calibri"/>
                <w:b/>
                <w:sz w:val="22"/>
              </w:rPr>
              <w:t>TOTAL ESTIMATED INCENTIVE PAYMENTS FOR 4-YEAR PERIOD:</w:t>
            </w:r>
            <w:r>
              <w:rPr>
                <w:rFonts w:ascii="Calibri" w:hAnsi="Calibri"/>
                <w:sz w:val="22"/>
              </w:rPr>
              <w:t xml:space="preserve"> </w:t>
            </w:r>
            <w:r>
              <w:rPr>
                <w:rFonts w:ascii="Calibri" w:hAnsi="Calibri" w:cs="Calibri"/>
                <w:sz w:val="22"/>
                <w:u w:val="single"/>
              </w:rPr>
              <w:t>$8,327,285</w:t>
            </w:r>
          </w:p>
        </w:tc>
      </w:tr>
    </w:tbl>
    <w:p w:rsidR="00C635EA" w:rsidRDefault="00C635EA">
      <w:pPr>
        <w:spacing w:after="0"/>
        <w:ind w:left="360" w:hanging="360"/>
        <w:rPr>
          <w:sz w:val="18"/>
          <w:szCs w:val="20"/>
        </w:rPr>
      </w:pPr>
    </w:p>
    <w:p w:rsidR="00C635EA" w:rsidRDefault="00C635EA">
      <w:pPr>
        <w:spacing w:after="0"/>
        <w:ind w:left="360" w:hanging="360"/>
        <w:rPr>
          <w:sz w:val="18"/>
          <w:szCs w:val="20"/>
        </w:rPr>
      </w:pPr>
    </w:p>
    <w:p w:rsidR="00C635EA" w:rsidRDefault="00C635EA">
      <w:pPr>
        <w:spacing w:after="0"/>
        <w:ind w:left="360" w:hanging="360"/>
        <w:rPr>
          <w:rFonts w:ascii="Calibri" w:hAnsi="Calibri" w:cs="Calibri"/>
          <w:color w:val="808080"/>
          <w:sz w:val="18"/>
          <w:szCs w:val="20"/>
        </w:rPr>
      </w:pPr>
      <w:r>
        <w:rPr>
          <w:rFonts w:ascii="Calibri" w:hAnsi="Calibri" w:cs="Calibri"/>
          <w:color w:val="808080"/>
          <w:sz w:val="16"/>
          <w:szCs w:val="20"/>
        </w:rPr>
        <w:t>94487</w:t>
      </w:r>
    </w:p>
    <w:sectPr w:rsidR="00C635EA" w:rsidSect="00E16FFE">
      <w:headerReference w:type="even" r:id="rId8"/>
      <w:headerReference w:type="default" r:id="rId9"/>
      <w:footerReference w:type="even" r:id="rId10"/>
      <w:footerReference w:type="default" r:id="rId11"/>
      <w:headerReference w:type="first" r:id="rId12"/>
      <w:footerReference w:type="first" r:id="rId13"/>
      <w:pgSz w:w="15840" w:h="12240" w:orient="landscape"/>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635EA" w:rsidRDefault="00C635EA">
      <w:pPr>
        <w:spacing w:after="0"/>
      </w:pPr>
      <w:r>
        <w:separator/>
      </w:r>
    </w:p>
  </w:endnote>
  <w:endnote w:type="continuationSeparator" w:id="0">
    <w:p w:rsidR="00C635EA" w:rsidRDefault="00C635EA">
      <w:pPr>
        <w:spacing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onsolas">
    <w:panose1 w:val="020B0609020204030204"/>
    <w:charset w:val="00"/>
    <w:family w:val="modern"/>
    <w:pitch w:val="fixed"/>
    <w:sig w:usb0="A00002EF" w:usb1="4000204B" w:usb2="00000000" w:usb3="00000000" w:csb0="000000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5EA" w:rsidRDefault="00C635EA">
    <w:pPr>
      <w:pStyle w:val="Footer"/>
      <w:jc w:val="center"/>
    </w:pPr>
  </w:p>
  <w:p w:rsidR="00C635EA" w:rsidRDefault="00C635EA">
    <w:pPr>
      <w:pStyle w:val="Footer"/>
      <w:jc w:val="center"/>
      <w:rPr>
        <w:rFonts w:ascii="Calibri" w:hAnsi="Calibri" w:cs="Calibri"/>
      </w:rPr>
    </w:pPr>
    <w:r>
      <w:rPr>
        <w:rFonts w:ascii="Calibri" w:hAnsi="Calibri" w:cs="Calibri"/>
        <w:sz w:val="20"/>
      </w:rPr>
      <w:fldChar w:fldCharType="begin"/>
    </w:r>
    <w:r>
      <w:rPr>
        <w:rFonts w:ascii="Calibri" w:hAnsi="Calibri" w:cs="Calibri"/>
        <w:sz w:val="20"/>
      </w:rPr>
      <w:instrText xml:space="preserve"> PAGE   \* MERGEFORMAT </w:instrText>
    </w:r>
    <w:r>
      <w:rPr>
        <w:rFonts w:ascii="Calibri" w:hAnsi="Calibri" w:cs="Calibri"/>
        <w:sz w:val="20"/>
      </w:rPr>
      <w:fldChar w:fldCharType="separate"/>
    </w:r>
    <w:r>
      <w:rPr>
        <w:rFonts w:ascii="Calibri" w:hAnsi="Calibri" w:cs="Calibri"/>
        <w:noProof/>
        <w:sz w:val="20"/>
      </w:rPr>
      <w:t>1</w:t>
    </w:r>
    <w:r>
      <w:rPr>
        <w:rFonts w:ascii="Calibri" w:hAnsi="Calibri" w:cs="Calibri"/>
        <w:sz w:val="20"/>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5EA" w:rsidRDefault="00C635EA">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5EA" w:rsidRDefault="00C635EA">
    <w:pPr>
      <w:pStyle w:val="Footer"/>
    </w:pPr>
  </w:p>
  <w:p w:rsidR="00C635EA" w:rsidRDefault="00C635EA">
    <w:pPr>
      <w:pStyle w:val="Footer"/>
      <w:jc w:val="center"/>
    </w:pPr>
    <w:r>
      <w:rPr>
        <w:rFonts w:ascii="Calibri" w:hAnsi="Calibri" w:cs="Calibri"/>
        <w:sz w:val="20"/>
      </w:rPr>
      <w:fldChar w:fldCharType="begin"/>
    </w:r>
    <w:r>
      <w:rPr>
        <w:rFonts w:ascii="Calibri" w:hAnsi="Calibri" w:cs="Calibri"/>
        <w:sz w:val="20"/>
      </w:rPr>
      <w:instrText xml:space="preserve"> PAGE   \* MERGEFORMAT </w:instrText>
    </w:r>
    <w:r>
      <w:rPr>
        <w:rFonts w:ascii="Calibri" w:hAnsi="Calibri" w:cs="Calibri"/>
        <w:sz w:val="20"/>
      </w:rPr>
      <w:fldChar w:fldCharType="separate"/>
    </w:r>
    <w:r>
      <w:rPr>
        <w:rFonts w:ascii="Calibri" w:hAnsi="Calibri" w:cs="Calibri"/>
        <w:noProof/>
        <w:sz w:val="20"/>
      </w:rPr>
      <w:t>8</w:t>
    </w:r>
    <w:r>
      <w:rPr>
        <w:rFonts w:ascii="Calibri" w:hAnsi="Calibri" w:cs="Calibri"/>
        <w:sz w:val="20"/>
      </w:rPr>
      <w:fldChar w:fldCharType="end"/>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5EA" w:rsidRDefault="00C635E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635EA" w:rsidRDefault="00C635EA">
      <w:pPr>
        <w:spacing w:after="0"/>
      </w:pPr>
      <w:r>
        <w:separator/>
      </w:r>
    </w:p>
  </w:footnote>
  <w:footnote w:type="continuationSeparator" w:id="0">
    <w:p w:rsidR="00C635EA" w:rsidRDefault="00C635EA">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5EA" w:rsidRDefault="00C635EA">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5EA" w:rsidRDefault="00C635EA">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5EA" w:rsidRDefault="00C635EA">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4033E9"/>
    <w:multiLevelType w:val="hybridMultilevel"/>
    <w:tmpl w:val="0D083DDE"/>
    <w:lvl w:ilvl="0" w:tplc="EB3C213C">
      <w:start w:val="1"/>
      <w:numFmt w:val="decimal"/>
      <w:lvlText w:val="%1."/>
      <w:lvlJc w:val="left"/>
      <w:pPr>
        <w:ind w:left="720" w:hanging="360"/>
      </w:pPr>
      <w:rPr>
        <w:rFonts w:cs="Times New Roman" w:hint="default"/>
        <w:b w:val="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94D7FBD"/>
    <w:multiLevelType w:val="hybridMultilevel"/>
    <w:tmpl w:val="B0120FF2"/>
    <w:lvl w:ilvl="0" w:tplc="04090017">
      <w:start w:val="1"/>
      <w:numFmt w:val="lowerLetter"/>
      <w:lvlText w:val="%1)"/>
      <w:lvlJc w:val="left"/>
      <w:pPr>
        <w:ind w:left="1080" w:hanging="360"/>
      </w:pPr>
      <w:rPr>
        <w:rFonts w:cs="Times New Roman"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0A342827"/>
    <w:multiLevelType w:val="hybridMultilevel"/>
    <w:tmpl w:val="D6C84944"/>
    <w:lvl w:ilvl="0" w:tplc="DAA20D74">
      <w:start w:val="1"/>
      <w:numFmt w:val="decimal"/>
      <w:lvlText w:val="%1."/>
      <w:lvlJc w:val="left"/>
      <w:pPr>
        <w:ind w:left="360" w:hanging="360"/>
      </w:pPr>
      <w:rPr>
        <w:rFonts w:cs="Times New Roman"/>
        <w:b/>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3">
    <w:nsid w:val="0BBA1CB5"/>
    <w:multiLevelType w:val="multilevel"/>
    <w:tmpl w:val="67B87C64"/>
    <w:lvl w:ilvl="0">
      <w:start w:val="1"/>
      <w:numFmt w:val="decimal"/>
      <w:lvlText w:val="%1"/>
      <w:lvlJc w:val="left"/>
      <w:pPr>
        <w:ind w:left="540" w:hanging="540"/>
      </w:pPr>
      <w:rPr>
        <w:rFonts w:cs="Times New Roman" w:hint="default"/>
      </w:rPr>
    </w:lvl>
    <w:lvl w:ilvl="1">
      <w:start w:val="11"/>
      <w:numFmt w:val="decimal"/>
      <w:lvlText w:val="%1.%2"/>
      <w:lvlJc w:val="left"/>
      <w:pPr>
        <w:ind w:left="901" w:hanging="540"/>
      </w:pPr>
      <w:rPr>
        <w:rFonts w:cs="Times New Roman" w:hint="default"/>
      </w:rPr>
    </w:lvl>
    <w:lvl w:ilvl="2">
      <w:start w:val="1"/>
      <w:numFmt w:val="lowerLetter"/>
      <w:lvlText w:val="%3)"/>
      <w:lvlJc w:val="left"/>
      <w:pPr>
        <w:ind w:left="1442" w:hanging="720"/>
      </w:pPr>
      <w:rPr>
        <w:rFonts w:cs="Times New Roman" w:hint="default"/>
      </w:rPr>
    </w:lvl>
    <w:lvl w:ilvl="3">
      <w:start w:val="1"/>
      <w:numFmt w:val="decimal"/>
      <w:lvlText w:val="%1.%2.%3.%4"/>
      <w:lvlJc w:val="left"/>
      <w:pPr>
        <w:ind w:left="1803" w:hanging="720"/>
      </w:pPr>
      <w:rPr>
        <w:rFonts w:cs="Times New Roman" w:hint="default"/>
      </w:rPr>
    </w:lvl>
    <w:lvl w:ilvl="4">
      <w:start w:val="1"/>
      <w:numFmt w:val="decimal"/>
      <w:lvlText w:val="%1.%2.%3.%4.%5"/>
      <w:lvlJc w:val="left"/>
      <w:pPr>
        <w:ind w:left="2524" w:hanging="1080"/>
      </w:pPr>
      <w:rPr>
        <w:rFonts w:cs="Times New Roman" w:hint="default"/>
      </w:rPr>
    </w:lvl>
    <w:lvl w:ilvl="5">
      <w:start w:val="1"/>
      <w:numFmt w:val="decimal"/>
      <w:lvlText w:val="%1.%2.%3.%4.%5.%6"/>
      <w:lvlJc w:val="left"/>
      <w:pPr>
        <w:ind w:left="2885" w:hanging="1080"/>
      </w:pPr>
      <w:rPr>
        <w:rFonts w:cs="Times New Roman" w:hint="default"/>
      </w:rPr>
    </w:lvl>
    <w:lvl w:ilvl="6">
      <w:start w:val="1"/>
      <w:numFmt w:val="decimal"/>
      <w:lvlText w:val="%1.%2.%3.%4.%5.%6.%7"/>
      <w:lvlJc w:val="left"/>
      <w:pPr>
        <w:ind w:left="3606" w:hanging="1440"/>
      </w:pPr>
      <w:rPr>
        <w:rFonts w:cs="Times New Roman" w:hint="default"/>
      </w:rPr>
    </w:lvl>
    <w:lvl w:ilvl="7">
      <w:start w:val="1"/>
      <w:numFmt w:val="decimal"/>
      <w:lvlText w:val="%1.%2.%3.%4.%5.%6.%7.%8"/>
      <w:lvlJc w:val="left"/>
      <w:pPr>
        <w:ind w:left="3967" w:hanging="1440"/>
      </w:pPr>
      <w:rPr>
        <w:rFonts w:cs="Times New Roman" w:hint="default"/>
      </w:rPr>
    </w:lvl>
    <w:lvl w:ilvl="8">
      <w:start w:val="1"/>
      <w:numFmt w:val="decimal"/>
      <w:lvlText w:val="%1.%2.%3.%4.%5.%6.%7.%8.%9"/>
      <w:lvlJc w:val="left"/>
      <w:pPr>
        <w:ind w:left="4328" w:hanging="1440"/>
      </w:pPr>
      <w:rPr>
        <w:rFonts w:cs="Times New Roman" w:hint="default"/>
      </w:rPr>
    </w:lvl>
  </w:abstractNum>
  <w:abstractNum w:abstractNumId="4">
    <w:nsid w:val="0D760833"/>
    <w:multiLevelType w:val="hybridMultilevel"/>
    <w:tmpl w:val="F3408FC0"/>
    <w:lvl w:ilvl="0" w:tplc="3CB089A2">
      <w:start w:val="1"/>
      <w:numFmt w:val="decimal"/>
      <w:lvlText w:val="%1."/>
      <w:lvlJc w:val="left"/>
      <w:pPr>
        <w:ind w:left="720" w:hanging="360"/>
      </w:pPr>
      <w:rPr>
        <w:rFonts w:ascii="Calibri" w:hAnsi="Calibri" w:cs="Calibri" w:hint="default"/>
        <w:b w:val="0"/>
        <w:sz w:val="22"/>
        <w:szCs w:val="2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4C61E57"/>
    <w:multiLevelType w:val="hybridMultilevel"/>
    <w:tmpl w:val="4AEC928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nsid w:val="169D28D8"/>
    <w:multiLevelType w:val="hybridMultilevel"/>
    <w:tmpl w:val="8EA4BD14"/>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nsid w:val="1C0069AF"/>
    <w:multiLevelType w:val="hybridMultilevel"/>
    <w:tmpl w:val="0EE848D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F396A59"/>
    <w:multiLevelType w:val="hybridMultilevel"/>
    <w:tmpl w:val="31A4AD2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0D5729A"/>
    <w:multiLevelType w:val="hybridMultilevel"/>
    <w:tmpl w:val="BFD843A6"/>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BBF19DE"/>
    <w:multiLevelType w:val="hybridMultilevel"/>
    <w:tmpl w:val="9BB89166"/>
    <w:lvl w:ilvl="0" w:tplc="7BAA8EE2">
      <w:start w:val="1"/>
      <w:numFmt w:val="decimal"/>
      <w:lvlText w:val="%1."/>
      <w:lvlJc w:val="left"/>
      <w:pPr>
        <w:ind w:left="720" w:hanging="360"/>
      </w:pPr>
      <w:rPr>
        <w:rFonts w:ascii="Calibri" w:hAnsi="Calibri" w:cs="Calibri" w:hint="default"/>
        <w:b w:val="0"/>
        <w:sz w:val="22"/>
        <w:szCs w:val="22"/>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nsid w:val="5A140D0E"/>
    <w:multiLevelType w:val="hybridMultilevel"/>
    <w:tmpl w:val="26C2578C"/>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2">
    <w:nsid w:val="636E34DB"/>
    <w:multiLevelType w:val="hybridMultilevel"/>
    <w:tmpl w:val="113EB5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6620210B"/>
    <w:multiLevelType w:val="hybridMultilevel"/>
    <w:tmpl w:val="AD2E6FE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87337E5"/>
    <w:multiLevelType w:val="hybridMultilevel"/>
    <w:tmpl w:val="BEE26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E486BA5"/>
    <w:multiLevelType w:val="hybridMultilevel"/>
    <w:tmpl w:val="C498B598"/>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
    <w:nsid w:val="7EFA0C3A"/>
    <w:multiLevelType w:val="hybridMultilevel"/>
    <w:tmpl w:val="72BC0B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9"/>
  </w:num>
  <w:num w:numId="3">
    <w:abstractNumId w:val="3"/>
  </w:num>
  <w:num w:numId="4">
    <w:abstractNumId w:val="8"/>
  </w:num>
  <w:num w:numId="5">
    <w:abstractNumId w:val="6"/>
  </w:num>
  <w:num w:numId="6">
    <w:abstractNumId w:val="0"/>
  </w:num>
  <w:num w:numId="7">
    <w:abstractNumId w:val="2"/>
  </w:num>
  <w:num w:numId="8">
    <w:abstractNumId w:val="10"/>
  </w:num>
  <w:num w:numId="9">
    <w:abstractNumId w:val="11"/>
  </w:num>
  <w:num w:numId="10">
    <w:abstractNumId w:val="14"/>
  </w:num>
  <w:num w:numId="11">
    <w:abstractNumId w:val="15"/>
  </w:num>
  <w:num w:numId="12">
    <w:abstractNumId w:val="4"/>
  </w:num>
  <w:num w:numId="13">
    <w:abstractNumId w:val="5"/>
  </w:num>
  <w:num w:numId="14">
    <w:abstractNumId w:val="13"/>
  </w:num>
  <w:num w:numId="15">
    <w:abstractNumId w:val="7"/>
  </w:num>
  <w:num w:numId="16">
    <w:abstractNumId w:val="1"/>
  </w:num>
  <w:num w:numId="17">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635EA"/>
    <w:rsid w:val="00C635EA"/>
    <w:rsid w:val="00E16FFE"/>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PlaceName"/>
  <w:smartTagType w:namespaceuri="urn:schemas-microsoft-com:office:smarttags" w:name="PlaceType"/>
  <w:smartTagType w:namespaceuri="urn:schemas-microsoft-com:office:smarttags" w:name="City"/>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40"/>
      <w:jc w:val="both"/>
    </w:pPr>
    <w:rPr>
      <w:rFonts w:ascii="Arial" w:hAnsi="Arial"/>
      <w:sz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pPr>
      <w:spacing w:after="0"/>
      <w:ind w:left="720"/>
      <w:contextualSpacing/>
      <w:jc w:val="left"/>
    </w:pPr>
    <w:rPr>
      <w:rFonts w:ascii="Calibri" w:hAnsi="Calibri"/>
      <w:sz w:val="22"/>
    </w:rPr>
  </w:style>
  <w:style w:type="character" w:styleId="Strong">
    <w:name w:val="Strong"/>
    <w:aliases w:val="Bullets"/>
    <w:basedOn w:val="DefaultParagraphFont"/>
    <w:uiPriority w:val="99"/>
    <w:qFormat/>
    <w:rPr>
      <w:rFonts w:cs="Times New Roman"/>
    </w:rPr>
  </w:style>
  <w:style w:type="paragraph" w:styleId="PlainText">
    <w:name w:val="Plain Text"/>
    <w:basedOn w:val="Normal"/>
    <w:link w:val="PlainTextChar"/>
    <w:uiPriority w:val="99"/>
    <w:semiHidden/>
    <w:pPr>
      <w:spacing w:after="0"/>
    </w:pPr>
    <w:rPr>
      <w:rFonts w:ascii="Consolas" w:hAnsi="Consolas"/>
      <w:sz w:val="21"/>
      <w:szCs w:val="21"/>
    </w:rPr>
  </w:style>
  <w:style w:type="character" w:customStyle="1" w:styleId="PlainTextChar">
    <w:name w:val="Plain Text Char"/>
    <w:basedOn w:val="DefaultParagraphFont"/>
    <w:link w:val="PlainText"/>
    <w:uiPriority w:val="99"/>
    <w:semiHidden/>
    <w:locked/>
    <w:rPr>
      <w:rFonts w:ascii="Consolas" w:hAnsi="Consolas" w:cs="Times New Roman"/>
      <w:sz w:val="21"/>
    </w:rPr>
  </w:style>
  <w:style w:type="paragraph" w:styleId="Header">
    <w:name w:val="header"/>
    <w:basedOn w:val="Normal"/>
    <w:link w:val="HeaderChar"/>
    <w:uiPriority w:val="99"/>
    <w:pPr>
      <w:tabs>
        <w:tab w:val="center" w:pos="4680"/>
        <w:tab w:val="right" w:pos="9360"/>
      </w:tabs>
      <w:spacing w:after="0"/>
    </w:pPr>
    <w:rPr>
      <w:szCs w:val="20"/>
    </w:rPr>
  </w:style>
  <w:style w:type="character" w:customStyle="1" w:styleId="HeaderChar">
    <w:name w:val="Header Char"/>
    <w:basedOn w:val="DefaultParagraphFont"/>
    <w:link w:val="Header"/>
    <w:uiPriority w:val="99"/>
    <w:locked/>
    <w:rPr>
      <w:rFonts w:ascii="Arial" w:hAnsi="Arial" w:cs="Times New Roman"/>
      <w:sz w:val="24"/>
    </w:rPr>
  </w:style>
  <w:style w:type="paragraph" w:styleId="Footer">
    <w:name w:val="footer"/>
    <w:basedOn w:val="Normal"/>
    <w:link w:val="FooterChar"/>
    <w:uiPriority w:val="99"/>
    <w:pPr>
      <w:tabs>
        <w:tab w:val="center" w:pos="4680"/>
        <w:tab w:val="right" w:pos="9360"/>
      </w:tabs>
      <w:spacing w:after="0"/>
    </w:pPr>
    <w:rPr>
      <w:szCs w:val="20"/>
    </w:rPr>
  </w:style>
  <w:style w:type="character" w:customStyle="1" w:styleId="FooterChar">
    <w:name w:val="Footer Char"/>
    <w:basedOn w:val="DefaultParagraphFont"/>
    <w:link w:val="Footer"/>
    <w:uiPriority w:val="99"/>
    <w:locked/>
    <w:rPr>
      <w:rFonts w:ascii="Arial" w:hAnsi="Arial" w:cs="Times New Roman"/>
      <w:sz w:val="24"/>
    </w:rPr>
  </w:style>
  <w:style w:type="paragraph" w:styleId="BalloonText">
    <w:name w:val="Balloon Text"/>
    <w:basedOn w:val="Normal"/>
    <w:link w:val="BalloonTextChar"/>
    <w:uiPriority w:val="99"/>
    <w:semiHidden/>
    <w:pPr>
      <w:spacing w:after="0"/>
    </w:pPr>
    <w:rPr>
      <w:rFonts w:ascii="Tahoma" w:hAnsi="Tahoma"/>
      <w:sz w:val="16"/>
      <w:szCs w:val="16"/>
    </w:rPr>
  </w:style>
  <w:style w:type="character" w:customStyle="1" w:styleId="BalloonTextChar">
    <w:name w:val="Balloon Text Char"/>
    <w:basedOn w:val="DefaultParagraphFont"/>
    <w:link w:val="BalloonText"/>
    <w:uiPriority w:val="99"/>
    <w:semiHidden/>
    <w:locked/>
    <w:rPr>
      <w:rFonts w:ascii="Tahoma" w:hAnsi="Tahoma" w:cs="Times New Roman"/>
      <w:sz w:val="16"/>
    </w:rPr>
  </w:style>
</w:styles>
</file>

<file path=word/webSettings.xml><?xml version="1.0" encoding="utf-8"?>
<w:webSettings xmlns:r="http://schemas.openxmlformats.org/officeDocument/2006/relationships" xmlns:w="http://schemas.openxmlformats.org/wordprocessingml/2006/main">
  <w:divs>
    <w:div w:id="177620685">
      <w:marLeft w:val="0"/>
      <w:marRight w:val="0"/>
      <w:marTop w:val="0"/>
      <w:marBottom w:val="0"/>
      <w:divBdr>
        <w:top w:val="none" w:sz="0" w:space="0" w:color="auto"/>
        <w:left w:val="none" w:sz="0" w:space="0" w:color="auto"/>
        <w:bottom w:val="none" w:sz="0" w:space="0" w:color="auto"/>
        <w:right w:val="none" w:sz="0" w:space="0" w:color="auto"/>
      </w:divBdr>
    </w:div>
    <w:div w:id="17762068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8</Pages>
  <Words>3149</Words>
  <Characters>17952</Characters>
  <Application>Microsoft Office Outlook</Application>
  <DocSecurity>0</DocSecurity>
  <Lines>0</Lines>
  <Paragraphs>0</Paragraphs>
  <ScaleCrop>false</ScaleCrop>
  <Company>Gjerset &amp; Lorenz, LLP</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 Paso) UMC DSRIP 10/29/12 - Electronic Medical Records (00094487-7).DOCX</dc:title>
  <dc:subject/>
  <dc:creator>Frances Hansen</dc:creator>
  <cp:keywords/>
  <dc:description/>
  <cp:lastModifiedBy>Thomason</cp:lastModifiedBy>
  <cp:revision>2</cp:revision>
  <cp:lastPrinted>2012-10-30T01:37:00Z</cp:lastPrinted>
  <dcterms:created xsi:type="dcterms:W3CDTF">2012-11-08T17:13:00Z</dcterms:created>
  <dcterms:modified xsi:type="dcterms:W3CDTF">2012-11-08T17:13:00Z</dcterms:modified>
</cp:coreProperties>
</file>