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BE" w:rsidRDefault="003F69BE">
      <w:pPr>
        <w:spacing w:after="0" w:line="240" w:lineRule="auto"/>
        <w:rPr>
          <w:sz w:val="24"/>
          <w:szCs w:val="24"/>
        </w:rPr>
      </w:pPr>
      <w:bookmarkStart w:id="0" w:name="_GoBack"/>
      <w:bookmarkEnd w:id="0"/>
      <w:r>
        <w:rPr>
          <w:b/>
          <w:sz w:val="24"/>
          <w:szCs w:val="24"/>
          <w:u w:val="single"/>
        </w:rPr>
        <w:t>Title of Outcome Measure (Improvement Target):</w:t>
      </w:r>
      <w:r>
        <w:rPr>
          <w:b/>
          <w:sz w:val="24"/>
          <w:szCs w:val="24"/>
        </w:rPr>
        <w:t xml:space="preserve"> IT-11.5, </w:t>
      </w:r>
      <w:r w:rsidRPr="00760437">
        <w:rPr>
          <w:b/>
          <w:sz w:val="24"/>
          <w:szCs w:val="24"/>
        </w:rPr>
        <w:t>IT-3.12</w:t>
      </w:r>
      <w:r>
        <w:rPr>
          <w:sz w:val="24"/>
          <w:szCs w:val="24"/>
        </w:rPr>
        <w:t>: Other Readmission Rate</w:t>
      </w:r>
    </w:p>
    <w:p w:rsidR="003F69BE" w:rsidRDefault="003F69BE">
      <w:pPr>
        <w:spacing w:after="0" w:line="240" w:lineRule="auto"/>
        <w:rPr>
          <w:sz w:val="24"/>
          <w:szCs w:val="24"/>
        </w:rPr>
      </w:pPr>
    </w:p>
    <w:p w:rsidR="003F69BE" w:rsidRDefault="003F69BE">
      <w:pPr>
        <w:spacing w:after="0" w:line="240" w:lineRule="auto"/>
        <w:rPr>
          <w:b/>
          <w:sz w:val="24"/>
          <w:szCs w:val="24"/>
        </w:rPr>
      </w:pPr>
      <w:r>
        <w:rPr>
          <w:b/>
          <w:sz w:val="24"/>
          <w:szCs w:val="24"/>
          <w:u w:val="single"/>
        </w:rPr>
        <w:t>Unique RHP outcome identification number(s</w:t>
      </w:r>
      <w:r>
        <w:rPr>
          <w:b/>
          <w:sz w:val="24"/>
          <w:szCs w:val="24"/>
        </w:rPr>
        <w:t>):  138951211.3.16, 138951211.3.12, 138951211.3.13, 138951211.3.14</w:t>
      </w:r>
    </w:p>
    <w:p w:rsidR="003F69BE" w:rsidRDefault="003F69BE">
      <w:pPr>
        <w:spacing w:after="0" w:line="240" w:lineRule="auto"/>
        <w:rPr>
          <w:b/>
          <w:sz w:val="24"/>
          <w:szCs w:val="24"/>
        </w:rPr>
      </w:pPr>
    </w:p>
    <w:p w:rsidR="003F69BE" w:rsidRDefault="003F69BE">
      <w:pPr>
        <w:spacing w:after="0" w:line="240" w:lineRule="auto"/>
        <w:rPr>
          <w:b/>
          <w:sz w:val="24"/>
          <w:szCs w:val="24"/>
          <w:u w:val="single"/>
        </w:rPr>
      </w:pPr>
      <w:r>
        <w:rPr>
          <w:b/>
          <w:sz w:val="24"/>
          <w:szCs w:val="24"/>
          <w:u w:val="single"/>
        </w:rPr>
        <w:t xml:space="preserve">Outcome Measure Description:  </w:t>
      </w:r>
    </w:p>
    <w:p w:rsidR="003F69BE" w:rsidRDefault="003F69BE">
      <w:pPr>
        <w:spacing w:after="0" w:line="240" w:lineRule="auto"/>
        <w:rPr>
          <w:b/>
          <w:sz w:val="24"/>
          <w:szCs w:val="24"/>
          <w:u w:val="single"/>
        </w:rPr>
      </w:pPr>
      <w:r>
        <w:rPr>
          <w:sz w:val="24"/>
          <w:szCs w:val="24"/>
        </w:rPr>
        <w:t>IT-3.12:</w:t>
      </w:r>
      <w:r>
        <w:rPr>
          <w:b/>
          <w:sz w:val="24"/>
          <w:szCs w:val="24"/>
        </w:rPr>
        <w:t xml:space="preserve"> </w:t>
      </w:r>
      <w:r>
        <w:rPr>
          <w:sz w:val="24"/>
          <w:szCs w:val="24"/>
        </w:rPr>
        <w:t>Other Readmission Rate</w:t>
      </w:r>
    </w:p>
    <w:p w:rsidR="003F69BE" w:rsidRDefault="003F69BE">
      <w:pPr>
        <w:numPr>
          <w:ilvl w:val="0"/>
          <w:numId w:val="4"/>
        </w:numPr>
        <w:autoSpaceDE w:val="0"/>
        <w:autoSpaceDN w:val="0"/>
        <w:adjustRightInd w:val="0"/>
        <w:spacing w:after="0" w:line="240" w:lineRule="auto"/>
        <w:rPr>
          <w:rFonts w:cs="Calibri"/>
          <w:sz w:val="24"/>
          <w:szCs w:val="24"/>
        </w:rPr>
      </w:pPr>
      <w:r>
        <w:rPr>
          <w:rFonts w:cs="Calibri"/>
          <w:sz w:val="24"/>
          <w:szCs w:val="24"/>
        </w:rPr>
        <w:t>Rate 1: Post-surgical patients (138951211.2.8)</w:t>
      </w:r>
    </w:p>
    <w:p w:rsidR="003F69BE" w:rsidRDefault="003F69BE" w:rsidP="0071254F">
      <w:pPr>
        <w:numPr>
          <w:ilvl w:val="0"/>
          <w:numId w:val="4"/>
        </w:numPr>
        <w:autoSpaceDE w:val="0"/>
        <w:autoSpaceDN w:val="0"/>
        <w:adjustRightInd w:val="0"/>
        <w:spacing w:after="0" w:line="240" w:lineRule="auto"/>
        <w:rPr>
          <w:rFonts w:cs="Calibri"/>
          <w:sz w:val="24"/>
          <w:szCs w:val="24"/>
        </w:rPr>
      </w:pPr>
      <w:r>
        <w:rPr>
          <w:rFonts w:cs="Calibri"/>
          <w:sz w:val="24"/>
          <w:szCs w:val="24"/>
        </w:rPr>
        <w:t>Rate 2: NHC Medical Home Patients (138951211.2.4)</w:t>
      </w:r>
    </w:p>
    <w:p w:rsidR="003F69BE" w:rsidRDefault="003F69BE" w:rsidP="0071254F">
      <w:pPr>
        <w:numPr>
          <w:ilvl w:val="0"/>
          <w:numId w:val="4"/>
        </w:numPr>
        <w:autoSpaceDE w:val="0"/>
        <w:autoSpaceDN w:val="0"/>
        <w:adjustRightInd w:val="0"/>
        <w:spacing w:after="0" w:line="240" w:lineRule="auto"/>
        <w:rPr>
          <w:rFonts w:cs="Calibri"/>
          <w:sz w:val="24"/>
          <w:szCs w:val="24"/>
        </w:rPr>
      </w:pPr>
      <w:r>
        <w:rPr>
          <w:rFonts w:cs="Calibri"/>
          <w:sz w:val="24"/>
          <w:szCs w:val="24"/>
        </w:rPr>
        <w:t>Rate 3: NHC Chronic Care (138951211.2.5)</w:t>
      </w:r>
    </w:p>
    <w:p w:rsidR="003F69BE" w:rsidRDefault="003F69BE" w:rsidP="0071254F">
      <w:pPr>
        <w:numPr>
          <w:ilvl w:val="0"/>
          <w:numId w:val="4"/>
        </w:numPr>
        <w:autoSpaceDE w:val="0"/>
        <w:autoSpaceDN w:val="0"/>
        <w:adjustRightInd w:val="0"/>
        <w:spacing w:after="0" w:line="240" w:lineRule="auto"/>
        <w:rPr>
          <w:rFonts w:cs="Calibri"/>
          <w:sz w:val="24"/>
          <w:szCs w:val="24"/>
        </w:rPr>
      </w:pPr>
      <w:r>
        <w:rPr>
          <w:rFonts w:cs="Calibri"/>
          <w:sz w:val="24"/>
          <w:szCs w:val="24"/>
        </w:rPr>
        <w:t>Rate 4: NHC Coumadin Clinic (138951211.2.6)</w:t>
      </w:r>
    </w:p>
    <w:p w:rsidR="003F69BE" w:rsidRDefault="003F69BE">
      <w:pPr>
        <w:autoSpaceDE w:val="0"/>
        <w:autoSpaceDN w:val="0"/>
        <w:adjustRightInd w:val="0"/>
        <w:spacing w:after="0" w:line="240" w:lineRule="auto"/>
        <w:rPr>
          <w:rFonts w:cs="Calibri"/>
          <w:sz w:val="24"/>
          <w:szCs w:val="24"/>
        </w:rPr>
      </w:pPr>
    </w:p>
    <w:p w:rsidR="003F69BE" w:rsidRDefault="003F69BE">
      <w:pPr>
        <w:spacing w:after="0" w:line="240" w:lineRule="auto"/>
        <w:rPr>
          <w:b/>
          <w:sz w:val="24"/>
          <w:szCs w:val="24"/>
        </w:rPr>
      </w:pPr>
      <w:r>
        <w:rPr>
          <w:b/>
          <w:sz w:val="24"/>
          <w:szCs w:val="24"/>
        </w:rPr>
        <w:t xml:space="preserve">Process Milestones: </w:t>
      </w:r>
    </w:p>
    <w:p w:rsidR="003F69BE" w:rsidRDefault="003F69BE">
      <w:pPr>
        <w:numPr>
          <w:ilvl w:val="0"/>
          <w:numId w:val="5"/>
        </w:numPr>
        <w:spacing w:after="0" w:line="240" w:lineRule="auto"/>
        <w:rPr>
          <w:sz w:val="24"/>
          <w:szCs w:val="24"/>
        </w:rPr>
      </w:pPr>
      <w:r>
        <w:rPr>
          <w:sz w:val="24"/>
          <w:szCs w:val="24"/>
        </w:rPr>
        <w:t xml:space="preserve">DY2: </w:t>
      </w:r>
    </w:p>
    <w:p w:rsidR="003F69BE" w:rsidRDefault="003F69BE">
      <w:pPr>
        <w:numPr>
          <w:ilvl w:val="1"/>
          <w:numId w:val="5"/>
        </w:numPr>
        <w:spacing w:after="0" w:line="240" w:lineRule="auto"/>
        <w:rPr>
          <w:sz w:val="24"/>
          <w:szCs w:val="24"/>
        </w:rPr>
      </w:pPr>
      <w:r>
        <w:rPr>
          <w:sz w:val="24"/>
          <w:szCs w:val="24"/>
        </w:rPr>
        <w:t>P-1 – Project planning – engage stakeholders, identify current capacity and needed resources, determine timelines and document implementation plans</w:t>
      </w:r>
    </w:p>
    <w:p w:rsidR="003F69BE" w:rsidRDefault="003F69BE">
      <w:pPr>
        <w:numPr>
          <w:ilvl w:val="0"/>
          <w:numId w:val="5"/>
        </w:numPr>
        <w:spacing w:after="0" w:line="240" w:lineRule="auto"/>
        <w:rPr>
          <w:sz w:val="24"/>
          <w:szCs w:val="24"/>
        </w:rPr>
      </w:pPr>
      <w:r>
        <w:rPr>
          <w:sz w:val="24"/>
          <w:szCs w:val="24"/>
        </w:rPr>
        <w:t xml:space="preserve">DY3: </w:t>
      </w:r>
    </w:p>
    <w:p w:rsidR="003F69BE" w:rsidRDefault="003F69BE">
      <w:pPr>
        <w:numPr>
          <w:ilvl w:val="1"/>
          <w:numId w:val="5"/>
        </w:numPr>
        <w:spacing w:after="0" w:line="240" w:lineRule="auto"/>
        <w:rPr>
          <w:sz w:val="24"/>
          <w:szCs w:val="24"/>
        </w:rPr>
      </w:pPr>
      <w:r>
        <w:rPr>
          <w:sz w:val="24"/>
          <w:szCs w:val="24"/>
        </w:rPr>
        <w:t>P-2 – Establish baseline rates for rate 1</w:t>
      </w:r>
    </w:p>
    <w:p w:rsidR="003F69BE" w:rsidRDefault="003F69BE">
      <w:pPr>
        <w:spacing w:after="0" w:line="240" w:lineRule="auto"/>
        <w:rPr>
          <w:sz w:val="24"/>
          <w:szCs w:val="24"/>
        </w:rPr>
      </w:pPr>
    </w:p>
    <w:p w:rsidR="003F69BE" w:rsidRDefault="003F69BE">
      <w:pPr>
        <w:spacing w:after="0" w:line="240" w:lineRule="auto"/>
        <w:rPr>
          <w:b/>
          <w:sz w:val="24"/>
          <w:szCs w:val="24"/>
        </w:rPr>
      </w:pPr>
      <w:r>
        <w:rPr>
          <w:b/>
          <w:sz w:val="24"/>
          <w:szCs w:val="24"/>
        </w:rPr>
        <w:t>Outcome Improvement Targets for each year:</w:t>
      </w:r>
    </w:p>
    <w:p w:rsidR="003F69BE" w:rsidRDefault="003F69BE">
      <w:pPr>
        <w:numPr>
          <w:ilvl w:val="0"/>
          <w:numId w:val="5"/>
        </w:numPr>
        <w:spacing w:after="0" w:line="240" w:lineRule="auto"/>
        <w:rPr>
          <w:sz w:val="24"/>
          <w:szCs w:val="24"/>
        </w:rPr>
      </w:pPr>
      <w:r>
        <w:rPr>
          <w:sz w:val="24"/>
          <w:szCs w:val="24"/>
        </w:rPr>
        <w:t xml:space="preserve">DY4: </w:t>
      </w:r>
    </w:p>
    <w:p w:rsidR="003F69BE" w:rsidRDefault="003F69BE">
      <w:pPr>
        <w:numPr>
          <w:ilvl w:val="1"/>
          <w:numId w:val="5"/>
        </w:numPr>
        <w:spacing w:after="0" w:line="240" w:lineRule="auto"/>
        <w:rPr>
          <w:sz w:val="24"/>
          <w:szCs w:val="24"/>
        </w:rPr>
      </w:pPr>
      <w:r>
        <w:rPr>
          <w:sz w:val="24"/>
          <w:szCs w:val="24"/>
        </w:rPr>
        <w:t>IT-3.12: Other readmission rate—UMC Post-surgical patients—TBD improvement over DY3</w:t>
      </w:r>
    </w:p>
    <w:p w:rsidR="003F69BE" w:rsidRDefault="003F69BE" w:rsidP="0071254F">
      <w:pPr>
        <w:numPr>
          <w:ilvl w:val="1"/>
          <w:numId w:val="5"/>
        </w:numPr>
        <w:spacing w:after="0" w:line="240" w:lineRule="auto"/>
        <w:rPr>
          <w:sz w:val="24"/>
          <w:szCs w:val="24"/>
        </w:rPr>
      </w:pPr>
      <w:r>
        <w:rPr>
          <w:sz w:val="24"/>
          <w:szCs w:val="24"/>
        </w:rPr>
        <w:t>IT-3.12: Other readmission rate—Discharges to NHC —TBD improvement over DY3</w:t>
      </w:r>
    </w:p>
    <w:p w:rsidR="003F69BE" w:rsidRDefault="003F69BE">
      <w:pPr>
        <w:numPr>
          <w:ilvl w:val="0"/>
          <w:numId w:val="5"/>
        </w:numPr>
        <w:spacing w:after="0" w:line="240" w:lineRule="auto"/>
        <w:rPr>
          <w:sz w:val="24"/>
          <w:szCs w:val="24"/>
        </w:rPr>
      </w:pPr>
      <w:r>
        <w:rPr>
          <w:sz w:val="24"/>
          <w:szCs w:val="24"/>
        </w:rPr>
        <w:t>DY5:</w:t>
      </w:r>
    </w:p>
    <w:p w:rsidR="003F69BE" w:rsidRDefault="003F69BE">
      <w:pPr>
        <w:numPr>
          <w:ilvl w:val="1"/>
          <w:numId w:val="5"/>
        </w:numPr>
        <w:spacing w:after="0" w:line="240" w:lineRule="auto"/>
        <w:rPr>
          <w:sz w:val="24"/>
          <w:szCs w:val="24"/>
        </w:rPr>
      </w:pPr>
      <w:r>
        <w:rPr>
          <w:sz w:val="24"/>
          <w:szCs w:val="24"/>
        </w:rPr>
        <w:t>IT-3.12: Other readmission rate—Post-surgical patients—TBD improvement over DY4</w:t>
      </w:r>
    </w:p>
    <w:p w:rsidR="003F69BE" w:rsidRDefault="003F69BE" w:rsidP="0071254F">
      <w:pPr>
        <w:numPr>
          <w:ilvl w:val="1"/>
          <w:numId w:val="5"/>
        </w:numPr>
        <w:spacing w:after="0" w:line="240" w:lineRule="auto"/>
        <w:rPr>
          <w:sz w:val="24"/>
          <w:szCs w:val="24"/>
        </w:rPr>
      </w:pPr>
      <w:r>
        <w:rPr>
          <w:sz w:val="24"/>
          <w:szCs w:val="24"/>
        </w:rPr>
        <w:t>IT-3.12: Other readmission rate—Discharges to NHC —TBD improvement over DY4</w:t>
      </w:r>
    </w:p>
    <w:p w:rsidR="003F69BE" w:rsidRDefault="003F69BE">
      <w:pPr>
        <w:spacing w:after="0" w:line="240" w:lineRule="auto"/>
        <w:rPr>
          <w:sz w:val="24"/>
          <w:szCs w:val="24"/>
        </w:rPr>
      </w:pPr>
    </w:p>
    <w:p w:rsidR="003F69BE" w:rsidRDefault="003F69BE">
      <w:pPr>
        <w:spacing w:after="0" w:line="240" w:lineRule="auto"/>
        <w:rPr>
          <w:sz w:val="24"/>
          <w:szCs w:val="24"/>
        </w:rPr>
      </w:pPr>
      <w:r>
        <w:rPr>
          <w:b/>
          <w:sz w:val="24"/>
          <w:szCs w:val="24"/>
          <w:u w:val="single"/>
        </w:rPr>
        <w:t>Rationale</w:t>
      </w:r>
      <w:r>
        <w:rPr>
          <w:b/>
          <w:sz w:val="24"/>
          <w:szCs w:val="24"/>
        </w:rPr>
        <w:t xml:space="preserve">: </w:t>
      </w:r>
    </w:p>
    <w:p w:rsidR="003F69BE" w:rsidRDefault="003F69BE">
      <w:pPr>
        <w:spacing w:after="0" w:line="240" w:lineRule="auto"/>
        <w:rPr>
          <w:sz w:val="24"/>
          <w:szCs w:val="24"/>
        </w:rPr>
      </w:pPr>
      <w:r>
        <w:rPr>
          <w:sz w:val="24"/>
          <w:szCs w:val="24"/>
        </w:rPr>
        <w:t>UMC believes that the associated Category 2 project (i.e., the creation of a surgery guidebook and corresponding nurse advice line) will result in lower readmission rates for post-surgical patients, because these patients will be better able to obtain the care they need in an outpatient setting.  Additional projects focus on discharged to the NHC and will lower readmission rates for these focused populations.</w:t>
      </w:r>
    </w:p>
    <w:p w:rsidR="003F69BE" w:rsidRDefault="003F69BE">
      <w:pPr>
        <w:spacing w:after="0" w:line="240" w:lineRule="auto"/>
        <w:rPr>
          <w:sz w:val="24"/>
          <w:szCs w:val="24"/>
        </w:rPr>
      </w:pPr>
    </w:p>
    <w:p w:rsidR="003F69BE" w:rsidRDefault="003F69BE">
      <w:pPr>
        <w:spacing w:after="0" w:line="240" w:lineRule="auto"/>
        <w:rPr>
          <w:sz w:val="24"/>
          <w:szCs w:val="24"/>
          <w:u w:val="single"/>
        </w:rPr>
      </w:pPr>
      <w:r>
        <w:rPr>
          <w:b/>
          <w:sz w:val="24"/>
          <w:szCs w:val="24"/>
          <w:u w:val="single"/>
        </w:rPr>
        <w:t xml:space="preserve">Outcome Measure Valuation: </w:t>
      </w:r>
    </w:p>
    <w:p w:rsidR="003F69BE" w:rsidRDefault="003F69BE">
      <w:pPr>
        <w:spacing w:after="0" w:line="240" w:lineRule="auto"/>
        <w:rPr>
          <w:rFonts w:ascii="Times New Roman" w:hAnsi="Times New Roman"/>
          <w:sz w:val="24"/>
          <w:szCs w:val="24"/>
        </w:rPr>
      </w:pPr>
      <w:r>
        <w:rPr>
          <w:rFonts w:cs="Calibri"/>
          <w:sz w:val="24"/>
          <w:szCs w:val="24"/>
        </w:rPr>
        <w:t>In determining the value of this outcome measure, UMC considered the extent to which an improvement in readmission rates for patients discharged under these new programs established with the projects listed will address the community’s needs, the population which this improvement will serve, the resources and cost necessary to realize the improvement, and the improvement’s conformity to the goals of the Waiver (including supporting the development of a coordinated care delivery system, improving outcomes while containing costs, and improving the healthcare infrastructure). Specifically, the valuation of this outcome measure takes into account the potential of implementing the associated Category 2 project to inform patients of appropriate pre-surgery and post-surgery self-care regimens and of support resources available to them in the community, leading to better outcomes and fewer readmissions. The valuation of this outcome measure also takes into account the challenges that UMC will face in realizing and measuring this improvement.</w:t>
      </w:r>
    </w:p>
    <w:p w:rsidR="003F69BE" w:rsidRDefault="003F69BE">
      <w:pPr>
        <w:spacing w:after="0" w:line="240" w:lineRule="auto"/>
        <w:rPr>
          <w:sz w:val="24"/>
          <w:szCs w:val="24"/>
        </w:rPr>
        <w:sectPr w:rsidR="003F69BE">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1152" w:left="1008" w:header="720" w:footer="720" w:gutter="0"/>
          <w:cols w:space="720"/>
          <w:docGrid w:linePitch="360"/>
        </w:sectPr>
      </w:pPr>
    </w:p>
    <w:p w:rsidR="003F69BE" w:rsidRDefault="003F69BE">
      <w:pPr>
        <w:spacing w:after="0" w:line="240" w:lineRule="auto"/>
        <w:ind w:left="720"/>
        <w:rPr>
          <w:i/>
          <w:sz w:val="16"/>
          <w:szCs w:val="16"/>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7"/>
        <w:gridCol w:w="3297"/>
        <w:gridCol w:w="3297"/>
        <w:gridCol w:w="3297"/>
      </w:tblGrid>
      <w:tr w:rsidR="003F69BE">
        <w:trPr>
          <w:trHeight w:val="272"/>
          <w:tblHeader/>
        </w:trPr>
        <w:tc>
          <w:tcPr>
            <w:tcW w:w="3297" w:type="dxa"/>
          </w:tcPr>
          <w:p w:rsidR="003F69BE" w:rsidRDefault="003F69BE">
            <w:pPr>
              <w:spacing w:after="0" w:line="240" w:lineRule="auto"/>
              <w:jc w:val="center"/>
              <w:rPr>
                <w:rFonts w:cs="Calibri"/>
                <w:i/>
                <w:color w:val="FFFFFF"/>
              </w:rPr>
            </w:pPr>
            <w:r>
              <w:rPr>
                <w:rFonts w:cs="Calibri"/>
                <w:i/>
              </w:rPr>
              <w:t>138951211.3.16, 138951211.3.12, 138951211.3.13,  138951211.3.14</w:t>
            </w:r>
          </w:p>
        </w:tc>
        <w:tc>
          <w:tcPr>
            <w:tcW w:w="3297" w:type="dxa"/>
          </w:tcPr>
          <w:p w:rsidR="003F69BE" w:rsidRDefault="003F69BE">
            <w:pPr>
              <w:spacing w:after="0" w:line="240" w:lineRule="auto"/>
              <w:jc w:val="center"/>
              <w:rPr>
                <w:rFonts w:cs="Calibri"/>
                <w:b/>
                <w:color w:val="FFFFFF"/>
              </w:rPr>
            </w:pPr>
            <w:r>
              <w:rPr>
                <w:rFonts w:cs="Calibri"/>
                <w:i/>
              </w:rPr>
              <w:t>IT-3.12</w:t>
            </w:r>
          </w:p>
        </w:tc>
        <w:tc>
          <w:tcPr>
            <w:tcW w:w="6594" w:type="dxa"/>
            <w:gridSpan w:val="2"/>
          </w:tcPr>
          <w:p w:rsidR="003F69BE" w:rsidRDefault="003F69BE">
            <w:pPr>
              <w:spacing w:after="0" w:line="240" w:lineRule="auto"/>
              <w:jc w:val="center"/>
              <w:rPr>
                <w:rFonts w:cs="Calibri"/>
                <w:b/>
                <w:color w:val="FFFFFF"/>
              </w:rPr>
            </w:pPr>
            <w:r>
              <w:rPr>
                <w:rFonts w:cs="Calibri"/>
                <w:i/>
              </w:rPr>
              <w:t>Other Readmission Rate</w:t>
            </w:r>
          </w:p>
        </w:tc>
      </w:tr>
      <w:tr w:rsidR="003F69BE">
        <w:trPr>
          <w:trHeight w:val="272"/>
          <w:tblHeader/>
        </w:trPr>
        <w:tc>
          <w:tcPr>
            <w:tcW w:w="9891" w:type="dxa"/>
            <w:gridSpan w:val="3"/>
          </w:tcPr>
          <w:p w:rsidR="003F69BE" w:rsidRDefault="003F69BE">
            <w:pPr>
              <w:spacing w:after="0" w:line="240" w:lineRule="auto"/>
              <w:jc w:val="center"/>
              <w:rPr>
                <w:rFonts w:cs="Calibri"/>
                <w:color w:val="FFFFFF"/>
              </w:rPr>
            </w:pPr>
            <w:smartTag w:uri="urn:schemas-microsoft-com:office:smarttags" w:element="PlaceType">
              <w:r>
                <w:rPr>
                  <w:rFonts w:cs="Calibri"/>
                  <w:i/>
                </w:rPr>
                <w:t>University</w:t>
              </w:r>
            </w:smartTag>
            <w:r>
              <w:rPr>
                <w:rFonts w:cs="Calibri"/>
                <w:i/>
              </w:rPr>
              <w:t xml:space="preserve"> </w:t>
            </w:r>
            <w:smartTag w:uri="urn:schemas-microsoft-com:office:smarttags" w:element="PlaceName">
              <w:r>
                <w:rPr>
                  <w:rFonts w:cs="Calibri"/>
                  <w:i/>
                </w:rPr>
                <w:t>Medical</w:t>
              </w:r>
            </w:smartTag>
            <w:r>
              <w:rPr>
                <w:rFonts w:cs="Calibri"/>
                <w:i/>
              </w:rPr>
              <w:t xml:space="preserve"> </w:t>
            </w:r>
            <w:smartTag w:uri="urn:schemas-microsoft-com:office:smarttags" w:element="PlaceType">
              <w:r>
                <w:rPr>
                  <w:rFonts w:cs="Calibri"/>
                  <w:i/>
                </w:rPr>
                <w:t>Center</w:t>
              </w:r>
            </w:smartTag>
            <w:r>
              <w:rPr>
                <w:rFonts w:cs="Calibri"/>
                <w:i/>
              </w:rPr>
              <w:t xml:space="preserve"> of </w:t>
            </w:r>
            <w:smartTag w:uri="urn:schemas-microsoft-com:office:smarttags" w:element="City">
              <w:smartTag w:uri="urn:schemas-microsoft-com:office:smarttags" w:element="place">
                <w:r>
                  <w:rPr>
                    <w:rFonts w:cs="Calibri"/>
                    <w:i/>
                  </w:rPr>
                  <w:t>El Paso</w:t>
                </w:r>
              </w:smartTag>
            </w:smartTag>
          </w:p>
        </w:tc>
        <w:tc>
          <w:tcPr>
            <w:tcW w:w="3297" w:type="dxa"/>
          </w:tcPr>
          <w:p w:rsidR="003F69BE" w:rsidRDefault="003F69BE">
            <w:pPr>
              <w:spacing w:after="0" w:line="240" w:lineRule="auto"/>
              <w:jc w:val="center"/>
              <w:rPr>
                <w:rFonts w:cs="Calibri"/>
                <w:b/>
                <w:i/>
                <w:color w:val="FFFFFF"/>
              </w:rPr>
            </w:pPr>
            <w:r>
              <w:rPr>
                <w:rFonts w:cs="Calibri"/>
                <w:i/>
              </w:rPr>
              <w:t>138951211</w:t>
            </w:r>
          </w:p>
        </w:tc>
      </w:tr>
      <w:tr w:rsidR="003F69BE">
        <w:trPr>
          <w:trHeight w:val="272"/>
          <w:tblHeader/>
        </w:trPr>
        <w:tc>
          <w:tcPr>
            <w:tcW w:w="3297" w:type="dxa"/>
          </w:tcPr>
          <w:p w:rsidR="003F69BE" w:rsidRDefault="003F69BE">
            <w:pPr>
              <w:spacing w:after="0" w:line="240" w:lineRule="auto"/>
              <w:jc w:val="center"/>
              <w:rPr>
                <w:rFonts w:cs="Calibri"/>
                <w:b/>
                <w:color w:val="FFFFFF"/>
              </w:rPr>
            </w:pPr>
            <w:r>
              <w:rPr>
                <w:rFonts w:cs="Calibri"/>
                <w:b/>
              </w:rPr>
              <w:t>Related Category 1 or 2 Projects:</w:t>
            </w:r>
            <w:r>
              <w:rPr>
                <w:rFonts w:cs="Calibri"/>
                <w:b/>
                <w:color w:val="FFFFFF"/>
              </w:rPr>
              <w:t>:</w:t>
            </w:r>
          </w:p>
        </w:tc>
        <w:tc>
          <w:tcPr>
            <w:tcW w:w="9891" w:type="dxa"/>
            <w:gridSpan w:val="3"/>
          </w:tcPr>
          <w:p w:rsidR="003F69BE" w:rsidRDefault="003F69BE">
            <w:pPr>
              <w:spacing w:after="0" w:line="240" w:lineRule="auto"/>
              <w:jc w:val="center"/>
              <w:rPr>
                <w:rFonts w:cs="Calibri"/>
                <w:i/>
                <w:color w:val="FFFFFF"/>
              </w:rPr>
            </w:pPr>
            <w:r>
              <w:rPr>
                <w:rFonts w:cs="Calibri"/>
                <w:i/>
              </w:rPr>
              <w:t>138951211.2.8,138951211.2.8, 138951211.2.4, 138951211.2.5, 138951211.2.6</w:t>
            </w:r>
          </w:p>
        </w:tc>
      </w:tr>
      <w:tr w:rsidR="003F69BE">
        <w:trPr>
          <w:trHeight w:val="272"/>
          <w:tblHeader/>
        </w:trPr>
        <w:tc>
          <w:tcPr>
            <w:tcW w:w="3297" w:type="dxa"/>
          </w:tcPr>
          <w:p w:rsidR="003F69BE" w:rsidRDefault="003F69BE">
            <w:pPr>
              <w:spacing w:after="0" w:line="240" w:lineRule="auto"/>
              <w:jc w:val="center"/>
              <w:rPr>
                <w:rFonts w:cs="Calibri"/>
                <w:b/>
              </w:rPr>
            </w:pPr>
            <w:r>
              <w:rPr>
                <w:rFonts w:cs="Calibri"/>
                <w:b/>
              </w:rPr>
              <w:t>Starting Point/Baseline:</w:t>
            </w:r>
          </w:p>
        </w:tc>
        <w:tc>
          <w:tcPr>
            <w:tcW w:w="9891" w:type="dxa"/>
            <w:gridSpan w:val="3"/>
          </w:tcPr>
          <w:p w:rsidR="003F69BE" w:rsidRDefault="003F69BE" w:rsidP="0071254F">
            <w:pPr>
              <w:spacing w:after="0" w:line="240" w:lineRule="auto"/>
              <w:rPr>
                <w:rFonts w:cs="Calibri"/>
                <w:i/>
              </w:rPr>
            </w:pPr>
            <w:r>
              <w:rPr>
                <w:rFonts w:cs="Calibri"/>
                <w:i/>
              </w:rPr>
              <w:t>TBD DY3 – New Programs</w:t>
            </w:r>
          </w:p>
        </w:tc>
      </w:tr>
      <w:tr w:rsidR="003F69BE">
        <w:trPr>
          <w:trHeight w:val="272"/>
          <w:tblHeader/>
        </w:trPr>
        <w:tc>
          <w:tcPr>
            <w:tcW w:w="3297" w:type="dxa"/>
            <w:shd w:val="clear" w:color="auto" w:fill="000000"/>
          </w:tcPr>
          <w:p w:rsidR="003F69BE" w:rsidRDefault="003F69BE">
            <w:pPr>
              <w:spacing w:after="0" w:line="240" w:lineRule="auto"/>
              <w:jc w:val="center"/>
              <w:rPr>
                <w:b/>
                <w:color w:val="FFFFFF"/>
                <w:sz w:val="20"/>
                <w:szCs w:val="20"/>
              </w:rPr>
            </w:pPr>
            <w:r>
              <w:rPr>
                <w:b/>
                <w:color w:val="FFFFFF"/>
                <w:sz w:val="20"/>
                <w:szCs w:val="20"/>
              </w:rPr>
              <w:t>Year 2</w:t>
            </w:r>
          </w:p>
          <w:p w:rsidR="003F69BE" w:rsidRDefault="003F69BE">
            <w:pPr>
              <w:spacing w:after="0" w:line="240" w:lineRule="auto"/>
              <w:jc w:val="center"/>
              <w:rPr>
                <w:b/>
                <w:color w:val="FFFFFF"/>
                <w:sz w:val="20"/>
                <w:szCs w:val="20"/>
              </w:rPr>
            </w:pPr>
            <w:r>
              <w:rPr>
                <w:b/>
                <w:color w:val="FFFFFF"/>
                <w:sz w:val="20"/>
                <w:szCs w:val="20"/>
              </w:rPr>
              <w:t xml:space="preserve"> (10/1/2012 – 9/30/2013)</w:t>
            </w:r>
          </w:p>
        </w:tc>
        <w:tc>
          <w:tcPr>
            <w:tcW w:w="3297" w:type="dxa"/>
            <w:shd w:val="clear" w:color="auto" w:fill="000000"/>
          </w:tcPr>
          <w:p w:rsidR="003F69BE" w:rsidRDefault="003F69BE">
            <w:pPr>
              <w:spacing w:after="0" w:line="240" w:lineRule="auto"/>
              <w:jc w:val="center"/>
              <w:rPr>
                <w:b/>
                <w:color w:val="FFFFFF"/>
                <w:sz w:val="20"/>
                <w:szCs w:val="20"/>
              </w:rPr>
            </w:pPr>
            <w:r>
              <w:rPr>
                <w:b/>
                <w:color w:val="FFFFFF"/>
                <w:sz w:val="20"/>
                <w:szCs w:val="20"/>
              </w:rPr>
              <w:t xml:space="preserve">Year 3 </w:t>
            </w:r>
          </w:p>
          <w:p w:rsidR="003F69BE" w:rsidRDefault="003F69BE">
            <w:pPr>
              <w:spacing w:after="0" w:line="240" w:lineRule="auto"/>
              <w:jc w:val="center"/>
              <w:rPr>
                <w:b/>
                <w:color w:val="FFFFFF"/>
                <w:sz w:val="20"/>
                <w:szCs w:val="20"/>
              </w:rPr>
            </w:pPr>
            <w:r>
              <w:rPr>
                <w:b/>
                <w:color w:val="FFFFFF"/>
                <w:sz w:val="20"/>
                <w:szCs w:val="20"/>
              </w:rPr>
              <w:t>(10/1/2013 – 9/30/2014)</w:t>
            </w:r>
          </w:p>
        </w:tc>
        <w:tc>
          <w:tcPr>
            <w:tcW w:w="3297" w:type="dxa"/>
            <w:shd w:val="clear" w:color="auto" w:fill="000000"/>
          </w:tcPr>
          <w:p w:rsidR="003F69BE" w:rsidRDefault="003F69BE">
            <w:pPr>
              <w:spacing w:after="0" w:line="240" w:lineRule="auto"/>
              <w:jc w:val="center"/>
              <w:rPr>
                <w:b/>
                <w:color w:val="FFFFFF"/>
                <w:sz w:val="20"/>
                <w:szCs w:val="20"/>
              </w:rPr>
            </w:pPr>
            <w:r>
              <w:rPr>
                <w:b/>
                <w:color w:val="FFFFFF"/>
                <w:sz w:val="20"/>
                <w:szCs w:val="20"/>
              </w:rPr>
              <w:t>Year 4</w:t>
            </w:r>
          </w:p>
          <w:p w:rsidR="003F69BE" w:rsidRDefault="003F69BE">
            <w:pPr>
              <w:spacing w:after="0" w:line="240" w:lineRule="auto"/>
              <w:jc w:val="center"/>
              <w:rPr>
                <w:b/>
                <w:color w:val="FFFFFF"/>
                <w:sz w:val="20"/>
                <w:szCs w:val="20"/>
              </w:rPr>
            </w:pPr>
            <w:r>
              <w:rPr>
                <w:b/>
                <w:color w:val="FFFFFF"/>
                <w:sz w:val="20"/>
                <w:szCs w:val="20"/>
              </w:rPr>
              <w:t>(10/1/2014 – 9/30/2015)</w:t>
            </w:r>
          </w:p>
        </w:tc>
        <w:tc>
          <w:tcPr>
            <w:tcW w:w="3297" w:type="dxa"/>
            <w:shd w:val="clear" w:color="auto" w:fill="000000"/>
          </w:tcPr>
          <w:p w:rsidR="003F69BE" w:rsidRDefault="003F69BE">
            <w:pPr>
              <w:spacing w:after="0" w:line="240" w:lineRule="auto"/>
              <w:jc w:val="center"/>
              <w:rPr>
                <w:b/>
                <w:color w:val="FFFFFF"/>
                <w:sz w:val="20"/>
                <w:szCs w:val="20"/>
              </w:rPr>
            </w:pPr>
            <w:r>
              <w:rPr>
                <w:b/>
                <w:color w:val="FFFFFF"/>
                <w:sz w:val="20"/>
                <w:szCs w:val="20"/>
              </w:rPr>
              <w:t>Year 5</w:t>
            </w:r>
          </w:p>
          <w:p w:rsidR="003F69BE" w:rsidRDefault="003F69BE">
            <w:pPr>
              <w:spacing w:after="0" w:line="240" w:lineRule="auto"/>
              <w:jc w:val="center"/>
              <w:rPr>
                <w:b/>
                <w:color w:val="FFFFFF"/>
                <w:sz w:val="20"/>
                <w:szCs w:val="20"/>
              </w:rPr>
            </w:pPr>
            <w:r>
              <w:rPr>
                <w:b/>
                <w:color w:val="FFFFFF"/>
                <w:sz w:val="20"/>
                <w:szCs w:val="20"/>
              </w:rPr>
              <w:t>, (10/1/2015 – 9/30/2016)</w:t>
            </w:r>
          </w:p>
        </w:tc>
      </w:tr>
      <w:tr w:rsidR="003F69BE">
        <w:trPr>
          <w:trHeight w:val="3635"/>
        </w:trPr>
        <w:tc>
          <w:tcPr>
            <w:tcW w:w="3297" w:type="dxa"/>
          </w:tcPr>
          <w:p w:rsidR="003F69BE" w:rsidRDefault="003F69BE">
            <w:pPr>
              <w:spacing w:after="0" w:line="240" w:lineRule="auto"/>
              <w:rPr>
                <w:rFonts w:cs="Calibri"/>
                <w:sz w:val="20"/>
                <w:szCs w:val="20"/>
              </w:rPr>
            </w:pPr>
            <w:r>
              <w:rPr>
                <w:rFonts w:cs="Calibri"/>
                <w:b/>
                <w:sz w:val="20"/>
                <w:szCs w:val="20"/>
              </w:rPr>
              <w:t>Process Milestone 1</w:t>
            </w:r>
            <w:r>
              <w:rPr>
                <w:rFonts w:cs="Calibri"/>
                <w:sz w:val="20"/>
                <w:szCs w:val="20"/>
              </w:rPr>
              <w:t xml:space="preserve"> [P-1]: Project planning—engage stakeholders, identify current capacity and needed resources, determine timelines, and document implementation plans.</w:t>
            </w:r>
          </w:p>
          <w:p w:rsidR="003F69BE" w:rsidRDefault="003F69BE">
            <w:pPr>
              <w:spacing w:after="0" w:line="240" w:lineRule="auto"/>
              <w:ind w:left="240"/>
              <w:rPr>
                <w:rFonts w:cs="Calibri"/>
                <w:sz w:val="20"/>
                <w:szCs w:val="20"/>
              </w:rPr>
            </w:pPr>
            <w:r>
              <w:rPr>
                <w:rFonts w:cs="Calibri"/>
                <w:sz w:val="20"/>
                <w:szCs w:val="20"/>
              </w:rPr>
              <w:t>Data Source: Documentation of project planning.</w:t>
            </w:r>
          </w:p>
          <w:p w:rsidR="003F69BE" w:rsidRDefault="003F69BE">
            <w:pPr>
              <w:spacing w:after="0" w:line="240" w:lineRule="auto"/>
              <w:rPr>
                <w:rFonts w:cs="Calibri"/>
                <w:sz w:val="20"/>
                <w:szCs w:val="20"/>
              </w:rPr>
            </w:pPr>
          </w:p>
          <w:p w:rsidR="003F69BE" w:rsidRDefault="003F69BE">
            <w:pPr>
              <w:spacing w:after="0" w:line="240" w:lineRule="auto"/>
              <w:rPr>
                <w:rFonts w:cs="Calibri"/>
                <w:sz w:val="20"/>
                <w:szCs w:val="20"/>
              </w:rPr>
            </w:pPr>
            <w:r>
              <w:rPr>
                <w:rFonts w:cs="Calibri"/>
                <w:sz w:val="20"/>
                <w:szCs w:val="20"/>
              </w:rPr>
              <w:t>Process Milestone 1 Estimated Incentive Payment: ---------------</w:t>
            </w:r>
          </w:p>
          <w:p w:rsidR="003F69BE" w:rsidRDefault="003F69BE">
            <w:pPr>
              <w:spacing w:after="0" w:line="240" w:lineRule="auto"/>
              <w:rPr>
                <w:rFonts w:cs="Calibri"/>
                <w:sz w:val="20"/>
                <w:szCs w:val="20"/>
              </w:rPr>
            </w:pPr>
          </w:p>
        </w:tc>
        <w:tc>
          <w:tcPr>
            <w:tcW w:w="3297" w:type="dxa"/>
          </w:tcPr>
          <w:p w:rsidR="003F69BE" w:rsidRDefault="003F69BE">
            <w:pPr>
              <w:spacing w:after="0" w:line="240" w:lineRule="auto"/>
              <w:rPr>
                <w:rFonts w:cs="Calibri"/>
                <w:b/>
                <w:sz w:val="20"/>
                <w:szCs w:val="20"/>
              </w:rPr>
            </w:pPr>
            <w:r>
              <w:rPr>
                <w:rFonts w:cs="Calibri"/>
                <w:b/>
                <w:sz w:val="20"/>
                <w:szCs w:val="20"/>
              </w:rPr>
              <w:t>Process Milestone 2</w:t>
            </w:r>
            <w:r>
              <w:rPr>
                <w:rFonts w:cs="Calibri"/>
                <w:sz w:val="20"/>
                <w:szCs w:val="20"/>
              </w:rPr>
              <w:t xml:space="preserve"> [P-2]: Establish baseline rates.</w:t>
            </w:r>
          </w:p>
          <w:p w:rsidR="003F69BE" w:rsidRDefault="003F69BE">
            <w:pPr>
              <w:spacing w:after="0" w:line="240" w:lineRule="auto"/>
              <w:ind w:left="303"/>
              <w:rPr>
                <w:rFonts w:cs="Calibri"/>
                <w:b/>
                <w:sz w:val="20"/>
                <w:szCs w:val="20"/>
              </w:rPr>
            </w:pPr>
            <w:r>
              <w:rPr>
                <w:rFonts w:cs="Calibri"/>
                <w:sz w:val="20"/>
                <w:szCs w:val="20"/>
              </w:rPr>
              <w:t>Data Source: EHR; claims.</w:t>
            </w:r>
          </w:p>
          <w:p w:rsidR="003F69BE" w:rsidRDefault="003F69BE">
            <w:pPr>
              <w:spacing w:after="0" w:line="240" w:lineRule="auto"/>
              <w:rPr>
                <w:rFonts w:cs="Calibri"/>
                <w:b/>
                <w:sz w:val="20"/>
                <w:szCs w:val="20"/>
              </w:rPr>
            </w:pPr>
          </w:p>
          <w:p w:rsidR="003F69BE" w:rsidRDefault="003F69BE">
            <w:pPr>
              <w:spacing w:after="0" w:line="240" w:lineRule="auto"/>
              <w:rPr>
                <w:rFonts w:cs="Calibri"/>
                <w:sz w:val="20"/>
                <w:szCs w:val="20"/>
              </w:rPr>
            </w:pPr>
            <w:r>
              <w:rPr>
                <w:rFonts w:cs="Calibri"/>
                <w:sz w:val="20"/>
                <w:szCs w:val="20"/>
              </w:rPr>
              <w:t xml:space="preserve">Process Milestone 2 Estimated Incentive Payment: </w:t>
            </w:r>
            <w:r>
              <w:rPr>
                <w:rFonts w:cs="Calibri"/>
                <w:i/>
                <w:sz w:val="20"/>
                <w:szCs w:val="20"/>
              </w:rPr>
              <w:t xml:space="preserve"> </w:t>
            </w:r>
            <w:r>
              <w:rPr>
                <w:rFonts w:cs="Calibri"/>
                <w:sz w:val="20"/>
                <w:szCs w:val="20"/>
              </w:rPr>
              <w:t>-------------</w:t>
            </w:r>
          </w:p>
          <w:p w:rsidR="003F69BE" w:rsidRDefault="003F69BE">
            <w:pPr>
              <w:spacing w:after="0" w:line="240" w:lineRule="auto"/>
              <w:rPr>
                <w:rFonts w:cs="Calibri"/>
                <w:sz w:val="20"/>
                <w:szCs w:val="20"/>
                <w:u w:val="single"/>
              </w:rPr>
            </w:pPr>
          </w:p>
        </w:tc>
        <w:tc>
          <w:tcPr>
            <w:tcW w:w="3297" w:type="dxa"/>
          </w:tcPr>
          <w:p w:rsidR="003F69BE" w:rsidRDefault="003F69BE">
            <w:pPr>
              <w:spacing w:after="0" w:line="240" w:lineRule="auto"/>
              <w:rPr>
                <w:rFonts w:cs="Calibri"/>
                <w:sz w:val="20"/>
                <w:szCs w:val="20"/>
              </w:rPr>
            </w:pPr>
            <w:r>
              <w:rPr>
                <w:rFonts w:cs="Calibri"/>
                <w:b/>
                <w:sz w:val="20"/>
                <w:szCs w:val="20"/>
              </w:rPr>
              <w:t>Outcome Improvement Target 1</w:t>
            </w:r>
            <w:r>
              <w:rPr>
                <w:rFonts w:cs="Calibri"/>
                <w:sz w:val="20"/>
                <w:szCs w:val="20"/>
              </w:rPr>
              <w:t xml:space="preserve"> [IT-3.12]: Other readmission rate.</w:t>
            </w:r>
          </w:p>
          <w:p w:rsidR="003F69BE" w:rsidRDefault="003F69BE">
            <w:pPr>
              <w:spacing w:after="0" w:line="240" w:lineRule="auto"/>
              <w:ind w:left="126"/>
              <w:rPr>
                <w:rFonts w:cs="Calibri"/>
                <w:sz w:val="20"/>
                <w:szCs w:val="20"/>
              </w:rPr>
            </w:pPr>
            <w:r>
              <w:rPr>
                <w:rFonts w:cs="Calibri"/>
                <w:sz w:val="20"/>
                <w:szCs w:val="20"/>
              </w:rPr>
              <w:t>Numerator: The number of readmissions (for patients 18 years and older), for any cause, from the index admission. If an index admission has more than 1 readmission, only the first is counted as a readmission.</w:t>
            </w:r>
          </w:p>
          <w:p w:rsidR="003F69BE" w:rsidRDefault="003F69BE">
            <w:pPr>
              <w:spacing w:after="0" w:line="240" w:lineRule="auto"/>
              <w:ind w:left="126"/>
              <w:rPr>
                <w:rFonts w:cs="Calibri"/>
                <w:sz w:val="20"/>
                <w:szCs w:val="20"/>
              </w:rPr>
            </w:pPr>
            <w:r>
              <w:rPr>
                <w:rFonts w:cs="Calibri"/>
                <w:sz w:val="20"/>
                <w:szCs w:val="20"/>
              </w:rPr>
              <w:t>Denominator: The number of admissions for patients discharged from the hospital in each new program established under these projects</w:t>
            </w:r>
          </w:p>
          <w:p w:rsidR="003F69BE" w:rsidRDefault="003F69BE">
            <w:pPr>
              <w:spacing w:after="0" w:line="240" w:lineRule="auto"/>
              <w:ind w:left="126"/>
              <w:rPr>
                <w:rFonts w:cs="Calibri"/>
                <w:sz w:val="20"/>
                <w:szCs w:val="20"/>
              </w:rPr>
            </w:pPr>
            <w:r>
              <w:rPr>
                <w:rFonts w:cs="Calibri"/>
                <w:sz w:val="20"/>
                <w:szCs w:val="20"/>
              </w:rPr>
              <w:t>Improvement Target: TBD improvement over DY3.</w:t>
            </w:r>
          </w:p>
          <w:p w:rsidR="003F69BE" w:rsidRDefault="003F69BE">
            <w:pPr>
              <w:spacing w:after="0" w:line="240" w:lineRule="auto"/>
              <w:ind w:left="126"/>
              <w:rPr>
                <w:rFonts w:cs="Calibri"/>
                <w:sz w:val="20"/>
                <w:szCs w:val="20"/>
              </w:rPr>
            </w:pPr>
            <w:r>
              <w:rPr>
                <w:rFonts w:cs="Calibri"/>
                <w:sz w:val="20"/>
                <w:szCs w:val="20"/>
              </w:rPr>
              <w:t>Data Source: EHR; claims.</w:t>
            </w:r>
          </w:p>
          <w:p w:rsidR="003F69BE" w:rsidRDefault="003F69BE">
            <w:pPr>
              <w:spacing w:after="0" w:line="240" w:lineRule="auto"/>
              <w:rPr>
                <w:rFonts w:cs="Calibri"/>
                <w:sz w:val="20"/>
                <w:szCs w:val="20"/>
              </w:rPr>
            </w:pPr>
          </w:p>
          <w:p w:rsidR="003F69BE" w:rsidRDefault="003F69BE">
            <w:pPr>
              <w:spacing w:after="0" w:line="240" w:lineRule="auto"/>
              <w:rPr>
                <w:rFonts w:cs="Calibri"/>
                <w:sz w:val="20"/>
                <w:szCs w:val="20"/>
              </w:rPr>
            </w:pPr>
            <w:r>
              <w:rPr>
                <w:rFonts w:cs="Calibri"/>
                <w:sz w:val="20"/>
                <w:szCs w:val="20"/>
              </w:rPr>
              <w:t>Outcome Improvement Target 1 Estimated Incentive Payment</w:t>
            </w:r>
            <w:r>
              <w:rPr>
                <w:rFonts w:cs="Calibri"/>
                <w:i/>
                <w:sz w:val="20"/>
                <w:szCs w:val="20"/>
              </w:rPr>
              <w:t xml:space="preserve">:  </w:t>
            </w:r>
            <w:r>
              <w:rPr>
                <w:rFonts w:cs="Calibri"/>
                <w:sz w:val="20"/>
                <w:szCs w:val="20"/>
              </w:rPr>
              <w:t>---------</w:t>
            </w:r>
          </w:p>
          <w:p w:rsidR="003F69BE" w:rsidRDefault="003F69BE">
            <w:pPr>
              <w:spacing w:after="0" w:line="240" w:lineRule="auto"/>
              <w:rPr>
                <w:rFonts w:cs="Calibri"/>
                <w:sz w:val="20"/>
                <w:szCs w:val="20"/>
              </w:rPr>
            </w:pPr>
          </w:p>
        </w:tc>
        <w:tc>
          <w:tcPr>
            <w:tcW w:w="3297" w:type="dxa"/>
          </w:tcPr>
          <w:p w:rsidR="003F69BE" w:rsidRDefault="003F69BE">
            <w:pPr>
              <w:spacing w:after="0" w:line="240" w:lineRule="auto"/>
              <w:rPr>
                <w:rFonts w:cs="Calibri"/>
                <w:sz w:val="20"/>
                <w:szCs w:val="20"/>
              </w:rPr>
            </w:pPr>
            <w:r>
              <w:rPr>
                <w:rFonts w:cs="Calibri"/>
                <w:b/>
                <w:sz w:val="20"/>
                <w:szCs w:val="20"/>
              </w:rPr>
              <w:t>Outcome Improvement Target 2</w:t>
            </w:r>
            <w:r>
              <w:rPr>
                <w:rFonts w:cs="Calibri"/>
                <w:sz w:val="20"/>
                <w:szCs w:val="20"/>
              </w:rPr>
              <w:t xml:space="preserve"> [IT-3.12]: Other readmission rate.</w:t>
            </w:r>
          </w:p>
          <w:p w:rsidR="003F69BE" w:rsidRDefault="003F69BE">
            <w:pPr>
              <w:spacing w:after="0" w:line="240" w:lineRule="auto"/>
              <w:ind w:left="126"/>
              <w:rPr>
                <w:rFonts w:cs="Calibri"/>
                <w:sz w:val="20"/>
                <w:szCs w:val="20"/>
              </w:rPr>
            </w:pPr>
            <w:r>
              <w:rPr>
                <w:rFonts w:cs="Calibri"/>
                <w:sz w:val="20"/>
                <w:szCs w:val="20"/>
              </w:rPr>
              <w:t>Numerator: The number of readmissions (for patients 18 years and older), for any cause, from the index admission. If an index admission has more than 1 readmission, only the first is counted as a readmission.</w:t>
            </w:r>
          </w:p>
          <w:p w:rsidR="003F69BE" w:rsidRDefault="003F69BE" w:rsidP="005C345D">
            <w:pPr>
              <w:spacing w:after="0" w:line="240" w:lineRule="auto"/>
              <w:ind w:left="126"/>
              <w:rPr>
                <w:rFonts w:cs="Calibri"/>
                <w:sz w:val="20"/>
                <w:szCs w:val="20"/>
              </w:rPr>
            </w:pPr>
            <w:r>
              <w:rPr>
                <w:rFonts w:cs="Calibri"/>
                <w:sz w:val="20"/>
                <w:szCs w:val="20"/>
              </w:rPr>
              <w:t>Denominator: The number of admissions for patients discharged from the hospital in each new program established under these projects</w:t>
            </w:r>
          </w:p>
          <w:p w:rsidR="003F69BE" w:rsidRDefault="003F69BE">
            <w:pPr>
              <w:spacing w:after="0" w:line="240" w:lineRule="auto"/>
              <w:ind w:left="126"/>
              <w:rPr>
                <w:rFonts w:cs="Calibri"/>
                <w:sz w:val="20"/>
                <w:szCs w:val="20"/>
              </w:rPr>
            </w:pPr>
            <w:r>
              <w:rPr>
                <w:rFonts w:cs="Calibri"/>
                <w:sz w:val="20"/>
                <w:szCs w:val="20"/>
              </w:rPr>
              <w:t>Improvement Target: TBD improvement over DY3.</w:t>
            </w:r>
          </w:p>
          <w:p w:rsidR="003F69BE" w:rsidRDefault="003F69BE">
            <w:pPr>
              <w:spacing w:after="0" w:line="240" w:lineRule="auto"/>
              <w:ind w:left="126"/>
              <w:rPr>
                <w:rFonts w:cs="Calibri"/>
                <w:sz w:val="20"/>
                <w:szCs w:val="20"/>
              </w:rPr>
            </w:pPr>
            <w:r>
              <w:rPr>
                <w:rFonts w:cs="Calibri"/>
                <w:sz w:val="20"/>
                <w:szCs w:val="20"/>
              </w:rPr>
              <w:t>Data Source: EHR; claims.</w:t>
            </w:r>
          </w:p>
          <w:p w:rsidR="003F69BE" w:rsidRDefault="003F69BE">
            <w:pPr>
              <w:spacing w:after="0" w:line="240" w:lineRule="auto"/>
              <w:rPr>
                <w:rFonts w:cs="Calibri"/>
                <w:sz w:val="20"/>
                <w:szCs w:val="20"/>
              </w:rPr>
            </w:pPr>
          </w:p>
          <w:p w:rsidR="003F69BE" w:rsidRDefault="003F69BE">
            <w:pPr>
              <w:spacing w:after="0" w:line="240" w:lineRule="auto"/>
              <w:rPr>
                <w:rFonts w:cs="Calibri"/>
                <w:sz w:val="20"/>
                <w:szCs w:val="20"/>
              </w:rPr>
            </w:pPr>
            <w:r>
              <w:rPr>
                <w:rFonts w:cs="Calibri"/>
                <w:sz w:val="20"/>
                <w:szCs w:val="20"/>
              </w:rPr>
              <w:t>Outcome Improvement Target 2 Estimated Incentive Payment</w:t>
            </w:r>
            <w:r>
              <w:rPr>
                <w:rFonts w:cs="Calibri"/>
                <w:i/>
                <w:sz w:val="20"/>
                <w:szCs w:val="20"/>
              </w:rPr>
              <w:t>:  ---------</w:t>
            </w:r>
          </w:p>
          <w:p w:rsidR="003F69BE" w:rsidRDefault="003F69BE">
            <w:pPr>
              <w:spacing w:after="0" w:line="240" w:lineRule="auto"/>
              <w:rPr>
                <w:rFonts w:cs="Calibri"/>
                <w:sz w:val="20"/>
                <w:szCs w:val="20"/>
              </w:rPr>
            </w:pPr>
          </w:p>
        </w:tc>
      </w:tr>
      <w:tr w:rsidR="003F69BE">
        <w:trPr>
          <w:trHeight w:val="557"/>
        </w:trPr>
        <w:tc>
          <w:tcPr>
            <w:tcW w:w="3297" w:type="dxa"/>
          </w:tcPr>
          <w:p w:rsidR="003F69BE" w:rsidRDefault="003F69BE">
            <w:pPr>
              <w:spacing w:after="0" w:line="240" w:lineRule="auto"/>
              <w:rPr>
                <w:rFonts w:cs="Calibri"/>
                <w:sz w:val="20"/>
                <w:szCs w:val="20"/>
              </w:rPr>
            </w:pPr>
            <w:r>
              <w:rPr>
                <w:rFonts w:cs="Calibri"/>
                <w:sz w:val="20"/>
                <w:szCs w:val="20"/>
              </w:rPr>
              <w:t>Year 2 Estimated Outcome Amount: --------------</w:t>
            </w:r>
          </w:p>
        </w:tc>
        <w:tc>
          <w:tcPr>
            <w:tcW w:w="3297" w:type="dxa"/>
          </w:tcPr>
          <w:p w:rsidR="003F69BE" w:rsidRDefault="003F69BE">
            <w:pPr>
              <w:spacing w:after="0" w:line="240" w:lineRule="auto"/>
              <w:rPr>
                <w:rFonts w:cs="Calibri"/>
                <w:sz w:val="20"/>
                <w:szCs w:val="20"/>
              </w:rPr>
            </w:pPr>
            <w:r>
              <w:rPr>
                <w:rFonts w:cs="Calibri"/>
                <w:sz w:val="20"/>
                <w:szCs w:val="20"/>
              </w:rPr>
              <w:t>Year 3 Estimated Outcome Amount:  --------------</w:t>
            </w:r>
          </w:p>
        </w:tc>
        <w:tc>
          <w:tcPr>
            <w:tcW w:w="3297" w:type="dxa"/>
          </w:tcPr>
          <w:p w:rsidR="003F69BE" w:rsidRDefault="003F69BE">
            <w:pPr>
              <w:spacing w:after="0" w:line="240" w:lineRule="auto"/>
              <w:rPr>
                <w:rFonts w:cs="Calibri"/>
                <w:sz w:val="20"/>
                <w:szCs w:val="20"/>
              </w:rPr>
            </w:pPr>
            <w:r>
              <w:rPr>
                <w:rFonts w:cs="Calibri"/>
                <w:sz w:val="20"/>
                <w:szCs w:val="20"/>
              </w:rPr>
              <w:t>Year 4 Estimated Outcome Amount: --------------</w:t>
            </w:r>
          </w:p>
        </w:tc>
        <w:tc>
          <w:tcPr>
            <w:tcW w:w="3297" w:type="dxa"/>
          </w:tcPr>
          <w:p w:rsidR="003F69BE" w:rsidRDefault="003F69BE">
            <w:pPr>
              <w:spacing w:after="0" w:line="240" w:lineRule="auto"/>
              <w:rPr>
                <w:rFonts w:cs="Calibri"/>
                <w:sz w:val="20"/>
                <w:szCs w:val="20"/>
              </w:rPr>
            </w:pPr>
            <w:r>
              <w:rPr>
                <w:rFonts w:cs="Calibri"/>
                <w:sz w:val="20"/>
                <w:szCs w:val="20"/>
              </w:rPr>
              <w:t xml:space="preserve">Year 5 Estimated Outcome Amount:  </w:t>
            </w:r>
            <w:r>
              <w:rPr>
                <w:rFonts w:cs="Calibri"/>
                <w:i/>
                <w:sz w:val="20"/>
                <w:szCs w:val="20"/>
              </w:rPr>
              <w:t>-------------</w:t>
            </w:r>
          </w:p>
        </w:tc>
      </w:tr>
      <w:tr w:rsidR="003F69BE">
        <w:trPr>
          <w:trHeight w:val="377"/>
        </w:trPr>
        <w:tc>
          <w:tcPr>
            <w:tcW w:w="13188" w:type="dxa"/>
            <w:gridSpan w:val="4"/>
          </w:tcPr>
          <w:p w:rsidR="003F69BE" w:rsidRDefault="003F69BE">
            <w:pPr>
              <w:spacing w:after="0" w:line="240" w:lineRule="auto"/>
              <w:rPr>
                <w:rFonts w:cs="Calibri"/>
              </w:rPr>
            </w:pPr>
            <w:r>
              <w:rPr>
                <w:rFonts w:cs="Calibri"/>
                <w:b/>
              </w:rPr>
              <w:t>TOTAL ESTIMATED INCENTIVE PAYMENTS FOR 4-YEAR PERIOD:</w:t>
            </w:r>
            <w:r>
              <w:rPr>
                <w:rFonts w:cs="Calibri"/>
              </w:rPr>
              <w:t xml:space="preserve"> -----------------</w:t>
            </w:r>
          </w:p>
        </w:tc>
      </w:tr>
    </w:tbl>
    <w:p w:rsidR="003F69BE" w:rsidRDefault="003F69BE">
      <w:pPr>
        <w:spacing w:after="0" w:line="240" w:lineRule="auto"/>
        <w:rPr>
          <w:rFonts w:ascii="Times New Roman" w:hAnsi="Times New Roman"/>
          <w:b/>
          <w:sz w:val="16"/>
          <w:szCs w:val="16"/>
        </w:rPr>
      </w:pPr>
    </w:p>
    <w:p w:rsidR="003F69BE" w:rsidRDefault="003F69BE">
      <w:r>
        <w:t>95094</w:t>
      </w:r>
    </w:p>
    <w:sectPr w:rsidR="003F69BE" w:rsidSect="00422F69">
      <w:footerReference w:type="even" r:id="rId13"/>
      <w:footerReference w:type="defaul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BE" w:rsidRDefault="003F69BE">
      <w:pPr>
        <w:spacing w:after="0" w:line="240" w:lineRule="auto"/>
      </w:pPr>
      <w:r>
        <w:separator/>
      </w:r>
    </w:p>
  </w:endnote>
  <w:endnote w:type="continuationSeparator" w:id="0">
    <w:p w:rsidR="003F69BE" w:rsidRDefault="003F6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9BE" w:rsidRDefault="003F69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69BE" w:rsidRDefault="003F69BE">
    <w:pPr>
      <w:pStyle w:val="Footer"/>
      <w:ind w:right="360"/>
      <w:rPr>
        <w:rFonts w:ascii="Cambria" w:hAnsi="Cambr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3F69BE" w:rsidRDefault="003F69B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9BE" w:rsidRDefault="003F69B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F69BE" w:rsidRDefault="003F69BE">
    <w:pPr>
      <w:pStyle w:val="Footer"/>
      <w:ind w:right="360"/>
      <w:rPr>
        <w:rFonts w:ascii="Cambria" w:hAnsi="Cambr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3F69BE" w:rsidRDefault="003F69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BE" w:rsidRDefault="003F69BE">
      <w:pPr>
        <w:spacing w:after="0" w:line="240" w:lineRule="auto"/>
      </w:pPr>
      <w:r>
        <w:separator/>
      </w:r>
    </w:p>
  </w:footnote>
  <w:footnote w:type="continuationSeparator" w:id="0">
    <w:p w:rsidR="003F69BE" w:rsidRDefault="003F6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BE" w:rsidRDefault="003F6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7078"/>
    <w:multiLevelType w:val="hybridMultilevel"/>
    <w:tmpl w:val="D17E4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8D1E57EE">
      <w:start w:val="1"/>
      <w:numFmt w:val="decimal"/>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4044E"/>
    <w:multiLevelType w:val="hybridMultilevel"/>
    <w:tmpl w:val="B502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34A74"/>
    <w:multiLevelType w:val="hybridMultilevel"/>
    <w:tmpl w:val="0E5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B35BC"/>
    <w:multiLevelType w:val="hybridMultilevel"/>
    <w:tmpl w:val="3D66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F24CB"/>
    <w:multiLevelType w:val="hybridMultilevel"/>
    <w:tmpl w:val="A558C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717"/>
    <w:rsid w:val="000B4D68"/>
    <w:rsid w:val="0010223A"/>
    <w:rsid w:val="00205F30"/>
    <w:rsid w:val="002074C0"/>
    <w:rsid w:val="00236D37"/>
    <w:rsid w:val="002C4E00"/>
    <w:rsid w:val="003408DF"/>
    <w:rsid w:val="003F69BE"/>
    <w:rsid w:val="00422F69"/>
    <w:rsid w:val="005A5A37"/>
    <w:rsid w:val="005C345D"/>
    <w:rsid w:val="0071254F"/>
    <w:rsid w:val="00760437"/>
    <w:rsid w:val="00797717"/>
    <w:rsid w:val="00E54342"/>
    <w:rsid w:val="00EA25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D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08DF"/>
    <w:pPr>
      <w:ind w:left="720"/>
      <w:contextualSpacing/>
    </w:pPr>
  </w:style>
  <w:style w:type="paragraph" w:styleId="Footer">
    <w:name w:val="footer"/>
    <w:basedOn w:val="Normal"/>
    <w:link w:val="FooterChar"/>
    <w:uiPriority w:val="99"/>
    <w:rsid w:val="003408D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408DF"/>
    <w:rPr>
      <w:rFonts w:ascii="Times New Roman" w:hAnsi="Times New Roman" w:cs="Times New Roman"/>
      <w:sz w:val="24"/>
      <w:szCs w:val="24"/>
    </w:rPr>
  </w:style>
  <w:style w:type="character" w:styleId="PageNumber">
    <w:name w:val="page number"/>
    <w:basedOn w:val="DefaultParagraphFont"/>
    <w:uiPriority w:val="99"/>
    <w:rsid w:val="003408DF"/>
    <w:rPr>
      <w:rFonts w:cs="Times New Roman"/>
    </w:rPr>
  </w:style>
  <w:style w:type="paragraph" w:styleId="Header">
    <w:name w:val="header"/>
    <w:basedOn w:val="Normal"/>
    <w:link w:val="HeaderChar"/>
    <w:uiPriority w:val="99"/>
    <w:rsid w:val="003408D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408DF"/>
    <w:rPr>
      <w:rFonts w:ascii="Calibri" w:hAnsi="Calibri" w:cs="Times New Roman"/>
    </w:rPr>
  </w:style>
  <w:style w:type="paragraph" w:styleId="BalloonText">
    <w:name w:val="Balloon Text"/>
    <w:basedOn w:val="Normal"/>
    <w:link w:val="BalloonTextChar"/>
    <w:uiPriority w:val="99"/>
    <w:semiHidden/>
    <w:rsid w:val="00340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175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713</Words>
  <Characters>4066</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DSRIP Category 3 - IT 3.12 Other Readmission Rate (00095094).DOCX</dc:title>
  <dc:subject/>
  <dc:creator>Frances Hansen</dc:creator>
  <cp:keywords/>
  <dc:description/>
  <cp:lastModifiedBy>Thomason</cp:lastModifiedBy>
  <cp:revision>2</cp:revision>
  <cp:lastPrinted>2012-10-25T15:29:00Z</cp:lastPrinted>
  <dcterms:created xsi:type="dcterms:W3CDTF">2012-11-07T16:36:00Z</dcterms:created>
  <dcterms:modified xsi:type="dcterms:W3CDTF">2012-11-07T16:36:00Z</dcterms:modified>
</cp:coreProperties>
</file>