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11" w:rsidRDefault="00A04111">
      <w:pPr>
        <w:spacing w:after="0" w:line="240" w:lineRule="auto"/>
        <w:rPr>
          <w:sz w:val="24"/>
          <w:szCs w:val="24"/>
        </w:rPr>
      </w:pPr>
      <w:bookmarkStart w:id="0" w:name="_GoBack"/>
      <w:bookmarkEnd w:id="0"/>
      <w:r>
        <w:rPr>
          <w:b/>
          <w:sz w:val="24"/>
          <w:szCs w:val="24"/>
          <w:u w:val="single"/>
        </w:rPr>
        <w:t>Title of Outcome Measure (Improvement Target):</w:t>
      </w:r>
      <w:r>
        <w:rPr>
          <w:b/>
          <w:sz w:val="24"/>
          <w:szCs w:val="24"/>
        </w:rPr>
        <w:t xml:space="preserve"> </w:t>
      </w:r>
      <w:r>
        <w:rPr>
          <w:sz w:val="24"/>
          <w:szCs w:val="24"/>
        </w:rPr>
        <w:t>IT-4.3: Catheter-Associated Urinary Tract Infection (CAUTI) Rates</w:t>
      </w:r>
    </w:p>
    <w:p w:rsidR="00A04111" w:rsidRDefault="00A04111">
      <w:pPr>
        <w:spacing w:after="0" w:line="240" w:lineRule="auto"/>
        <w:rPr>
          <w:sz w:val="24"/>
          <w:szCs w:val="24"/>
        </w:rPr>
      </w:pPr>
    </w:p>
    <w:p w:rsidR="00A04111" w:rsidRDefault="00A04111">
      <w:pPr>
        <w:spacing w:after="0" w:line="240" w:lineRule="auto"/>
        <w:rPr>
          <w:b/>
          <w:sz w:val="24"/>
          <w:szCs w:val="24"/>
          <w:u w:val="single"/>
        </w:rPr>
      </w:pPr>
      <w:r>
        <w:rPr>
          <w:b/>
          <w:sz w:val="24"/>
          <w:szCs w:val="24"/>
          <w:u w:val="single"/>
        </w:rPr>
        <w:t>Unique RHP outcome identification number(s</w:t>
      </w:r>
      <w:r>
        <w:rPr>
          <w:b/>
          <w:sz w:val="24"/>
          <w:szCs w:val="24"/>
        </w:rPr>
        <w:t>):  138951211.3.2</w:t>
      </w:r>
    </w:p>
    <w:p w:rsidR="00A04111" w:rsidRDefault="00A04111">
      <w:pPr>
        <w:spacing w:after="0" w:line="240" w:lineRule="auto"/>
        <w:rPr>
          <w:b/>
          <w:sz w:val="24"/>
          <w:szCs w:val="24"/>
        </w:rPr>
      </w:pPr>
    </w:p>
    <w:p w:rsidR="00A04111" w:rsidRDefault="00A04111">
      <w:pPr>
        <w:spacing w:after="0" w:line="240" w:lineRule="auto"/>
        <w:rPr>
          <w:b/>
          <w:sz w:val="24"/>
          <w:szCs w:val="24"/>
          <w:u w:val="single"/>
        </w:rPr>
      </w:pPr>
      <w:r>
        <w:rPr>
          <w:b/>
          <w:sz w:val="24"/>
          <w:szCs w:val="24"/>
          <w:u w:val="single"/>
        </w:rPr>
        <w:t xml:space="preserve">Outcome Measure Description:  </w:t>
      </w:r>
    </w:p>
    <w:p w:rsidR="00A04111" w:rsidRDefault="00A04111">
      <w:pPr>
        <w:spacing w:after="0" w:line="240" w:lineRule="auto"/>
        <w:rPr>
          <w:b/>
          <w:sz w:val="24"/>
          <w:szCs w:val="24"/>
          <w:u w:val="single"/>
        </w:rPr>
      </w:pPr>
      <w:r>
        <w:rPr>
          <w:sz w:val="24"/>
          <w:szCs w:val="24"/>
        </w:rPr>
        <w:t>IT- 4.3:</w:t>
      </w:r>
      <w:r>
        <w:rPr>
          <w:b/>
          <w:sz w:val="24"/>
          <w:szCs w:val="24"/>
        </w:rPr>
        <w:t xml:space="preserve"> </w:t>
      </w:r>
      <w:r>
        <w:rPr>
          <w:sz w:val="24"/>
          <w:szCs w:val="24"/>
        </w:rPr>
        <w:t>Catheter-Associated Urinary Tract Infection (CAUTI) Rates</w:t>
      </w:r>
    </w:p>
    <w:p w:rsidR="00A04111" w:rsidRDefault="00A04111">
      <w:pPr>
        <w:numPr>
          <w:ilvl w:val="0"/>
          <w:numId w:val="4"/>
        </w:numPr>
        <w:autoSpaceDE w:val="0"/>
        <w:autoSpaceDN w:val="0"/>
        <w:adjustRightInd w:val="0"/>
        <w:spacing w:after="0" w:line="240" w:lineRule="auto"/>
        <w:rPr>
          <w:rFonts w:cs="Calibri"/>
        </w:rPr>
      </w:pPr>
      <w:r>
        <w:rPr>
          <w:rFonts w:cs="Calibri"/>
        </w:rPr>
        <w:t>Rate 1: CAUTI rates (138951211.1.2)</w:t>
      </w:r>
    </w:p>
    <w:p w:rsidR="00A04111" w:rsidRDefault="00A04111">
      <w:pPr>
        <w:autoSpaceDE w:val="0"/>
        <w:autoSpaceDN w:val="0"/>
        <w:adjustRightInd w:val="0"/>
        <w:spacing w:after="0" w:line="240" w:lineRule="auto"/>
        <w:rPr>
          <w:rFonts w:cs="Calibri"/>
        </w:rPr>
      </w:pPr>
    </w:p>
    <w:p w:rsidR="00A04111" w:rsidRDefault="00A04111">
      <w:pPr>
        <w:spacing w:after="0" w:line="240" w:lineRule="auto"/>
        <w:rPr>
          <w:b/>
          <w:sz w:val="24"/>
          <w:szCs w:val="24"/>
        </w:rPr>
      </w:pPr>
      <w:r>
        <w:rPr>
          <w:b/>
          <w:sz w:val="24"/>
          <w:szCs w:val="24"/>
        </w:rPr>
        <w:t xml:space="preserve">Process Milestones: </w:t>
      </w:r>
    </w:p>
    <w:p w:rsidR="00A04111" w:rsidRDefault="00A04111">
      <w:pPr>
        <w:numPr>
          <w:ilvl w:val="0"/>
          <w:numId w:val="5"/>
        </w:numPr>
        <w:spacing w:after="0" w:line="240" w:lineRule="auto"/>
        <w:rPr>
          <w:sz w:val="24"/>
          <w:szCs w:val="24"/>
        </w:rPr>
      </w:pPr>
      <w:r>
        <w:rPr>
          <w:sz w:val="24"/>
          <w:szCs w:val="24"/>
        </w:rPr>
        <w:t xml:space="preserve">DY2: </w:t>
      </w:r>
    </w:p>
    <w:p w:rsidR="00A04111" w:rsidRDefault="00A04111">
      <w:pPr>
        <w:numPr>
          <w:ilvl w:val="1"/>
          <w:numId w:val="5"/>
        </w:numPr>
        <w:spacing w:after="0" w:line="240" w:lineRule="auto"/>
        <w:rPr>
          <w:sz w:val="24"/>
          <w:szCs w:val="24"/>
        </w:rPr>
      </w:pPr>
      <w:r>
        <w:rPr>
          <w:sz w:val="24"/>
          <w:szCs w:val="24"/>
        </w:rPr>
        <w:t>P-1 – Project planning – engage stakeholders, identify current capacity and needed resources, determine timelines and document implementation plans</w:t>
      </w:r>
    </w:p>
    <w:p w:rsidR="00A04111" w:rsidRDefault="00A04111">
      <w:pPr>
        <w:numPr>
          <w:ilvl w:val="0"/>
          <w:numId w:val="5"/>
        </w:numPr>
        <w:spacing w:after="0" w:line="240" w:lineRule="auto"/>
        <w:rPr>
          <w:sz w:val="24"/>
          <w:szCs w:val="24"/>
        </w:rPr>
      </w:pPr>
      <w:r>
        <w:rPr>
          <w:sz w:val="24"/>
          <w:szCs w:val="24"/>
        </w:rPr>
        <w:t xml:space="preserve">DY3: </w:t>
      </w:r>
    </w:p>
    <w:p w:rsidR="00A04111" w:rsidRDefault="00A04111">
      <w:pPr>
        <w:numPr>
          <w:ilvl w:val="1"/>
          <w:numId w:val="5"/>
        </w:numPr>
        <w:spacing w:after="0" w:line="240" w:lineRule="auto"/>
        <w:rPr>
          <w:sz w:val="24"/>
          <w:szCs w:val="24"/>
        </w:rPr>
      </w:pPr>
      <w:r>
        <w:rPr>
          <w:sz w:val="24"/>
          <w:szCs w:val="24"/>
        </w:rPr>
        <w:t>P-2 – Establish baseline rates for rate 1</w:t>
      </w:r>
    </w:p>
    <w:p w:rsidR="00A04111" w:rsidRDefault="00A04111">
      <w:pPr>
        <w:spacing w:after="0" w:line="240" w:lineRule="auto"/>
        <w:rPr>
          <w:sz w:val="24"/>
          <w:szCs w:val="24"/>
        </w:rPr>
      </w:pPr>
    </w:p>
    <w:p w:rsidR="00A04111" w:rsidRDefault="00A04111">
      <w:pPr>
        <w:spacing w:after="0" w:line="240" w:lineRule="auto"/>
        <w:rPr>
          <w:b/>
          <w:sz w:val="24"/>
          <w:szCs w:val="24"/>
        </w:rPr>
      </w:pPr>
      <w:r>
        <w:rPr>
          <w:b/>
          <w:sz w:val="24"/>
          <w:szCs w:val="24"/>
        </w:rPr>
        <w:t>Outcome Improvement Targets for each year:</w:t>
      </w:r>
    </w:p>
    <w:p w:rsidR="00A04111" w:rsidRDefault="00A04111">
      <w:pPr>
        <w:numPr>
          <w:ilvl w:val="0"/>
          <w:numId w:val="5"/>
        </w:numPr>
        <w:spacing w:after="0" w:line="240" w:lineRule="auto"/>
        <w:rPr>
          <w:sz w:val="24"/>
          <w:szCs w:val="24"/>
        </w:rPr>
      </w:pPr>
      <w:r>
        <w:rPr>
          <w:sz w:val="24"/>
          <w:szCs w:val="24"/>
        </w:rPr>
        <w:t xml:space="preserve">DY4: </w:t>
      </w:r>
    </w:p>
    <w:p w:rsidR="00A04111" w:rsidRDefault="00A04111">
      <w:pPr>
        <w:numPr>
          <w:ilvl w:val="1"/>
          <w:numId w:val="5"/>
        </w:numPr>
        <w:spacing w:after="0" w:line="240" w:lineRule="auto"/>
        <w:rPr>
          <w:sz w:val="24"/>
          <w:szCs w:val="24"/>
        </w:rPr>
      </w:pPr>
      <w:r>
        <w:rPr>
          <w:sz w:val="24"/>
          <w:szCs w:val="24"/>
        </w:rPr>
        <w:t>IT-4.3: Catheter-Associated Urinary Tract Infection (CAUTI) Rates—3% improvement over DY3</w:t>
      </w:r>
    </w:p>
    <w:p w:rsidR="00A04111" w:rsidRDefault="00A04111">
      <w:pPr>
        <w:numPr>
          <w:ilvl w:val="0"/>
          <w:numId w:val="5"/>
        </w:numPr>
        <w:spacing w:after="0" w:line="240" w:lineRule="auto"/>
        <w:rPr>
          <w:sz w:val="24"/>
          <w:szCs w:val="24"/>
        </w:rPr>
      </w:pPr>
      <w:r>
        <w:rPr>
          <w:sz w:val="24"/>
          <w:szCs w:val="24"/>
        </w:rPr>
        <w:t>DY5:</w:t>
      </w:r>
    </w:p>
    <w:p w:rsidR="00A04111" w:rsidRDefault="00A04111">
      <w:pPr>
        <w:numPr>
          <w:ilvl w:val="1"/>
          <w:numId w:val="5"/>
        </w:numPr>
        <w:spacing w:after="0" w:line="240" w:lineRule="auto"/>
        <w:rPr>
          <w:sz w:val="24"/>
          <w:szCs w:val="24"/>
        </w:rPr>
      </w:pPr>
      <w:r>
        <w:rPr>
          <w:sz w:val="24"/>
          <w:szCs w:val="24"/>
        </w:rPr>
        <w:t>IT-4.3: Catheter-Associated Urinary Tract Infection (CAUTI) Rates—3% improvement over DY4</w:t>
      </w:r>
    </w:p>
    <w:p w:rsidR="00A04111" w:rsidRDefault="00A04111">
      <w:pPr>
        <w:spacing w:after="0" w:line="240" w:lineRule="auto"/>
        <w:rPr>
          <w:sz w:val="24"/>
          <w:szCs w:val="24"/>
        </w:rPr>
      </w:pPr>
    </w:p>
    <w:p w:rsidR="00A04111" w:rsidRDefault="00A04111">
      <w:pPr>
        <w:spacing w:after="0" w:line="240" w:lineRule="auto"/>
        <w:rPr>
          <w:sz w:val="24"/>
          <w:szCs w:val="24"/>
        </w:rPr>
      </w:pPr>
      <w:r>
        <w:rPr>
          <w:b/>
          <w:sz w:val="24"/>
          <w:szCs w:val="24"/>
          <w:u w:val="single"/>
        </w:rPr>
        <w:t>Rationale</w:t>
      </w:r>
      <w:r>
        <w:rPr>
          <w:b/>
          <w:sz w:val="24"/>
          <w:szCs w:val="24"/>
        </w:rPr>
        <w:t xml:space="preserve">: </w:t>
      </w:r>
    </w:p>
    <w:p w:rsidR="00A04111" w:rsidRDefault="00A04111">
      <w:pPr>
        <w:spacing w:after="0" w:line="240" w:lineRule="auto"/>
        <w:rPr>
          <w:sz w:val="24"/>
          <w:szCs w:val="24"/>
        </w:rPr>
      </w:pPr>
      <w:r>
        <w:rPr>
          <w:sz w:val="24"/>
          <w:szCs w:val="24"/>
        </w:rPr>
        <w:t>Through the implementation of the electronic systems described in the associated Category 1 project, real-time information will be captured which will alert process participants of increased potential for a Catheter-Associated Urinary Tract Infection (CAUTI) to develop. For example, leading indicators will alert the UMC Quality Management department when a particular patient possesses all the high risk indicators which contribute to the development of a CAUTI (e.g., dehydration, immobility, elderly, foley catheterization, etc.). Preventative measures can then be implemented to avoid the actualization of a CAUTI. Therefore, UMC believes that the successful implementation of the associated Category 1 project will result in a measurable improvement in CAUTI rates at UMC.</w:t>
      </w:r>
    </w:p>
    <w:p w:rsidR="00A04111" w:rsidRDefault="00A04111">
      <w:pPr>
        <w:spacing w:after="0" w:line="240" w:lineRule="auto"/>
        <w:rPr>
          <w:sz w:val="24"/>
          <w:szCs w:val="24"/>
        </w:rPr>
      </w:pPr>
    </w:p>
    <w:p w:rsidR="00A04111" w:rsidRDefault="00A04111">
      <w:pPr>
        <w:spacing w:after="0" w:line="240" w:lineRule="auto"/>
        <w:rPr>
          <w:sz w:val="24"/>
          <w:szCs w:val="24"/>
          <w:u w:val="single"/>
        </w:rPr>
      </w:pPr>
      <w:r>
        <w:rPr>
          <w:b/>
          <w:sz w:val="24"/>
          <w:szCs w:val="24"/>
          <w:u w:val="single"/>
        </w:rPr>
        <w:t xml:space="preserve">Outcome Measure Valuation: </w:t>
      </w:r>
    </w:p>
    <w:p w:rsidR="00A04111" w:rsidRDefault="00A04111">
      <w:pPr>
        <w:spacing w:after="0" w:line="240" w:lineRule="auto"/>
        <w:rPr>
          <w:rFonts w:ascii="Times New Roman" w:hAnsi="Times New Roman"/>
          <w:sz w:val="24"/>
          <w:szCs w:val="24"/>
        </w:rPr>
      </w:pPr>
      <w:r>
        <w:rPr>
          <w:rFonts w:cs="Calibri"/>
          <w:sz w:val="24"/>
          <w:szCs w:val="24"/>
        </w:rPr>
        <w:t>In determining the value of this outcome measure, UMC considered the extent to which an improvement in CAUTI rates at UMC will address the community’s needs, the population which this improvement will serve, the resources and cost necessary to realize the improvement, and the improvement’s conformity to the goals of the Waiver (including supporting the development of a coordinated care delivery system, improving outcomes while containing costs, and improving the healthcare infrastructure). Specifically, the valuation of this outcome measure takes into account the potential of implementing the associated Category 1 project to improve quality of care and thereby improve patient outcomes for the target population. The valuation of this outcome measure also takes into account the challenges that UMC will face in realizing and measuring this improvement.</w:t>
      </w:r>
    </w:p>
    <w:p w:rsidR="00A04111" w:rsidRDefault="00A04111">
      <w:pPr>
        <w:spacing w:after="0" w:line="240" w:lineRule="auto"/>
        <w:rPr>
          <w:sz w:val="24"/>
          <w:szCs w:val="24"/>
        </w:rPr>
        <w:sectPr w:rsidR="00A04111">
          <w:headerReference w:type="even" r:id="rId7"/>
          <w:headerReference w:type="default" r:id="rId8"/>
          <w:footerReference w:type="even" r:id="rId9"/>
          <w:footerReference w:type="default" r:id="rId10"/>
          <w:headerReference w:type="first" r:id="rId11"/>
          <w:footerReference w:type="first" r:id="rId12"/>
          <w:pgSz w:w="12240" w:h="15840" w:code="1"/>
          <w:pgMar w:top="1152" w:right="1008" w:bottom="1152" w:left="1008" w:header="720" w:footer="720" w:gutter="0"/>
          <w:cols w:space="720"/>
          <w:docGrid w:linePitch="360"/>
        </w:sectPr>
      </w:pPr>
    </w:p>
    <w:p w:rsidR="00A04111" w:rsidRDefault="00A04111">
      <w:pPr>
        <w:spacing w:after="0" w:line="240" w:lineRule="auto"/>
        <w:ind w:left="720"/>
        <w:rPr>
          <w:i/>
          <w:sz w:val="16"/>
          <w:szCs w:val="16"/>
        </w:rPr>
      </w:pP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7"/>
        <w:gridCol w:w="3297"/>
        <w:gridCol w:w="3297"/>
        <w:gridCol w:w="3297"/>
      </w:tblGrid>
      <w:tr w:rsidR="00A04111">
        <w:trPr>
          <w:trHeight w:val="272"/>
          <w:tblHeader/>
        </w:trPr>
        <w:tc>
          <w:tcPr>
            <w:tcW w:w="3297" w:type="dxa"/>
          </w:tcPr>
          <w:p w:rsidR="00A04111" w:rsidRDefault="00A04111">
            <w:pPr>
              <w:spacing w:after="0" w:line="240" w:lineRule="auto"/>
              <w:jc w:val="center"/>
              <w:rPr>
                <w:rFonts w:cs="Calibri"/>
                <w:i/>
                <w:color w:val="FFFFFF"/>
              </w:rPr>
            </w:pPr>
            <w:r>
              <w:rPr>
                <w:rFonts w:cs="Calibri"/>
                <w:i/>
              </w:rPr>
              <w:t>138951211.3.2</w:t>
            </w:r>
          </w:p>
        </w:tc>
        <w:tc>
          <w:tcPr>
            <w:tcW w:w="3297" w:type="dxa"/>
          </w:tcPr>
          <w:p w:rsidR="00A04111" w:rsidRDefault="00A04111">
            <w:pPr>
              <w:spacing w:after="0" w:line="240" w:lineRule="auto"/>
              <w:jc w:val="center"/>
              <w:rPr>
                <w:rFonts w:cs="Calibri"/>
                <w:b/>
                <w:color w:val="FFFFFF"/>
              </w:rPr>
            </w:pPr>
            <w:r>
              <w:rPr>
                <w:rFonts w:cs="Calibri"/>
                <w:i/>
              </w:rPr>
              <w:t>IT-4.3</w:t>
            </w:r>
          </w:p>
        </w:tc>
        <w:tc>
          <w:tcPr>
            <w:tcW w:w="6594" w:type="dxa"/>
            <w:gridSpan w:val="2"/>
          </w:tcPr>
          <w:p w:rsidR="00A04111" w:rsidRDefault="00A04111">
            <w:pPr>
              <w:spacing w:after="0" w:line="240" w:lineRule="auto"/>
              <w:jc w:val="center"/>
              <w:rPr>
                <w:rFonts w:cs="Calibri"/>
                <w:b/>
                <w:color w:val="FFFFFF"/>
              </w:rPr>
            </w:pPr>
            <w:r>
              <w:rPr>
                <w:rFonts w:cs="Calibri"/>
                <w:i/>
              </w:rPr>
              <w:t>Catheter-Associated Urinary Tract Infection (CAUTI) Rates</w:t>
            </w:r>
          </w:p>
        </w:tc>
      </w:tr>
      <w:tr w:rsidR="00A04111">
        <w:trPr>
          <w:trHeight w:val="272"/>
          <w:tblHeader/>
        </w:trPr>
        <w:tc>
          <w:tcPr>
            <w:tcW w:w="9891" w:type="dxa"/>
            <w:gridSpan w:val="3"/>
          </w:tcPr>
          <w:p w:rsidR="00A04111" w:rsidRDefault="00A04111">
            <w:pPr>
              <w:spacing w:after="0" w:line="240" w:lineRule="auto"/>
              <w:jc w:val="center"/>
              <w:rPr>
                <w:rFonts w:cs="Calibri"/>
                <w:color w:val="FFFFFF"/>
              </w:rPr>
            </w:pPr>
            <w:smartTag w:uri="urn:schemas-microsoft-com:office:smarttags" w:element="PlaceType">
              <w:r>
                <w:rPr>
                  <w:rFonts w:cs="Calibri"/>
                  <w:i/>
                </w:rPr>
                <w:t>University</w:t>
              </w:r>
            </w:smartTag>
            <w:r>
              <w:rPr>
                <w:rFonts w:cs="Calibri"/>
                <w:i/>
              </w:rPr>
              <w:t xml:space="preserve"> </w:t>
            </w:r>
            <w:smartTag w:uri="urn:schemas-microsoft-com:office:smarttags" w:element="PlaceName">
              <w:r>
                <w:rPr>
                  <w:rFonts w:cs="Calibri"/>
                  <w:i/>
                </w:rPr>
                <w:t>Medical</w:t>
              </w:r>
            </w:smartTag>
            <w:r>
              <w:rPr>
                <w:rFonts w:cs="Calibri"/>
                <w:i/>
              </w:rPr>
              <w:t xml:space="preserve"> </w:t>
            </w:r>
            <w:smartTag w:uri="urn:schemas-microsoft-com:office:smarttags" w:element="PlaceType">
              <w:r>
                <w:rPr>
                  <w:rFonts w:cs="Calibri"/>
                  <w:i/>
                </w:rPr>
                <w:t>Center</w:t>
              </w:r>
            </w:smartTag>
            <w:r>
              <w:rPr>
                <w:rFonts w:cs="Calibri"/>
                <w:i/>
              </w:rPr>
              <w:t xml:space="preserve"> of </w:t>
            </w:r>
            <w:smartTag w:uri="urn:schemas-microsoft-com:office:smarttags" w:element="City">
              <w:smartTag w:uri="urn:schemas-microsoft-com:office:smarttags" w:element="place">
                <w:r>
                  <w:rPr>
                    <w:rFonts w:cs="Calibri"/>
                    <w:i/>
                  </w:rPr>
                  <w:t>El Paso</w:t>
                </w:r>
              </w:smartTag>
            </w:smartTag>
          </w:p>
        </w:tc>
        <w:tc>
          <w:tcPr>
            <w:tcW w:w="3297" w:type="dxa"/>
          </w:tcPr>
          <w:p w:rsidR="00A04111" w:rsidRDefault="00A04111">
            <w:pPr>
              <w:spacing w:after="0" w:line="240" w:lineRule="auto"/>
              <w:jc w:val="center"/>
              <w:rPr>
                <w:rFonts w:cs="Calibri"/>
                <w:b/>
                <w:i/>
                <w:color w:val="FFFFFF"/>
              </w:rPr>
            </w:pPr>
            <w:r>
              <w:rPr>
                <w:rFonts w:cs="Calibri"/>
                <w:i/>
              </w:rPr>
              <w:t>138951211</w:t>
            </w:r>
          </w:p>
        </w:tc>
      </w:tr>
      <w:tr w:rsidR="00A04111">
        <w:trPr>
          <w:trHeight w:val="272"/>
          <w:tblHeader/>
        </w:trPr>
        <w:tc>
          <w:tcPr>
            <w:tcW w:w="3297" w:type="dxa"/>
          </w:tcPr>
          <w:p w:rsidR="00A04111" w:rsidRDefault="00A04111">
            <w:pPr>
              <w:spacing w:after="0" w:line="240" w:lineRule="auto"/>
              <w:jc w:val="center"/>
              <w:rPr>
                <w:rFonts w:cs="Calibri"/>
                <w:b/>
                <w:color w:val="FFFFFF"/>
              </w:rPr>
            </w:pPr>
            <w:r>
              <w:rPr>
                <w:rFonts w:cs="Calibri"/>
                <w:b/>
              </w:rPr>
              <w:t>Related Category 1 or 2 Projects:</w:t>
            </w:r>
            <w:r>
              <w:rPr>
                <w:rFonts w:cs="Calibri"/>
                <w:b/>
                <w:color w:val="FFFFFF"/>
              </w:rPr>
              <w:t>:</w:t>
            </w:r>
          </w:p>
        </w:tc>
        <w:tc>
          <w:tcPr>
            <w:tcW w:w="9891" w:type="dxa"/>
            <w:gridSpan w:val="3"/>
          </w:tcPr>
          <w:p w:rsidR="00A04111" w:rsidRDefault="00A04111">
            <w:pPr>
              <w:spacing w:after="0" w:line="240" w:lineRule="auto"/>
              <w:jc w:val="center"/>
              <w:rPr>
                <w:rFonts w:cs="Calibri"/>
                <w:i/>
                <w:color w:val="FFFFFF"/>
              </w:rPr>
            </w:pPr>
            <w:r>
              <w:rPr>
                <w:rFonts w:cs="Calibri"/>
                <w:i/>
              </w:rPr>
              <w:t>138951211.1.2</w:t>
            </w:r>
          </w:p>
        </w:tc>
      </w:tr>
      <w:tr w:rsidR="00A04111">
        <w:trPr>
          <w:trHeight w:val="272"/>
          <w:tblHeader/>
        </w:trPr>
        <w:tc>
          <w:tcPr>
            <w:tcW w:w="3297" w:type="dxa"/>
          </w:tcPr>
          <w:p w:rsidR="00A04111" w:rsidRDefault="00A04111">
            <w:pPr>
              <w:spacing w:after="0" w:line="240" w:lineRule="auto"/>
              <w:jc w:val="center"/>
              <w:rPr>
                <w:rFonts w:cs="Calibri"/>
                <w:b/>
              </w:rPr>
            </w:pPr>
            <w:r>
              <w:rPr>
                <w:rFonts w:cs="Calibri"/>
                <w:b/>
              </w:rPr>
              <w:t>Starting Point/Baseline:</w:t>
            </w:r>
          </w:p>
        </w:tc>
        <w:tc>
          <w:tcPr>
            <w:tcW w:w="9891" w:type="dxa"/>
            <w:gridSpan w:val="3"/>
          </w:tcPr>
          <w:p w:rsidR="00A04111" w:rsidRDefault="00A04111">
            <w:pPr>
              <w:spacing w:after="0" w:line="240" w:lineRule="auto"/>
              <w:jc w:val="center"/>
              <w:rPr>
                <w:rFonts w:cs="Calibri"/>
                <w:i/>
              </w:rPr>
            </w:pPr>
            <w:r>
              <w:rPr>
                <w:rFonts w:cs="Calibri"/>
                <w:i/>
              </w:rPr>
              <w:t>TBD in DY3</w:t>
            </w:r>
          </w:p>
        </w:tc>
      </w:tr>
      <w:tr w:rsidR="00A04111">
        <w:trPr>
          <w:trHeight w:val="272"/>
          <w:tblHeader/>
        </w:trPr>
        <w:tc>
          <w:tcPr>
            <w:tcW w:w="3297" w:type="dxa"/>
            <w:shd w:val="clear" w:color="auto" w:fill="000000"/>
          </w:tcPr>
          <w:p w:rsidR="00A04111" w:rsidRDefault="00A04111">
            <w:pPr>
              <w:spacing w:after="0" w:line="240" w:lineRule="auto"/>
              <w:jc w:val="center"/>
              <w:rPr>
                <w:b/>
                <w:color w:val="FFFFFF"/>
                <w:sz w:val="20"/>
                <w:szCs w:val="20"/>
              </w:rPr>
            </w:pPr>
            <w:r>
              <w:rPr>
                <w:b/>
                <w:color w:val="FFFFFF"/>
                <w:sz w:val="20"/>
                <w:szCs w:val="20"/>
              </w:rPr>
              <w:t>Year 2</w:t>
            </w:r>
          </w:p>
          <w:p w:rsidR="00A04111" w:rsidRDefault="00A04111">
            <w:pPr>
              <w:spacing w:after="0" w:line="240" w:lineRule="auto"/>
              <w:jc w:val="center"/>
              <w:rPr>
                <w:b/>
                <w:color w:val="FFFFFF"/>
                <w:sz w:val="20"/>
                <w:szCs w:val="20"/>
              </w:rPr>
            </w:pPr>
            <w:r>
              <w:rPr>
                <w:b/>
                <w:color w:val="FFFFFF"/>
                <w:sz w:val="20"/>
                <w:szCs w:val="20"/>
              </w:rPr>
              <w:t xml:space="preserve"> (10/1/2012 – 9/30/2013)</w:t>
            </w:r>
          </w:p>
        </w:tc>
        <w:tc>
          <w:tcPr>
            <w:tcW w:w="3297" w:type="dxa"/>
            <w:shd w:val="clear" w:color="auto" w:fill="000000"/>
          </w:tcPr>
          <w:p w:rsidR="00A04111" w:rsidRDefault="00A04111">
            <w:pPr>
              <w:spacing w:after="0" w:line="240" w:lineRule="auto"/>
              <w:jc w:val="center"/>
              <w:rPr>
                <w:b/>
                <w:color w:val="FFFFFF"/>
                <w:sz w:val="20"/>
                <w:szCs w:val="20"/>
              </w:rPr>
            </w:pPr>
            <w:r>
              <w:rPr>
                <w:b/>
                <w:color w:val="FFFFFF"/>
                <w:sz w:val="20"/>
                <w:szCs w:val="20"/>
              </w:rPr>
              <w:t xml:space="preserve">Year 3 </w:t>
            </w:r>
          </w:p>
          <w:p w:rsidR="00A04111" w:rsidRDefault="00A04111">
            <w:pPr>
              <w:spacing w:after="0" w:line="240" w:lineRule="auto"/>
              <w:jc w:val="center"/>
              <w:rPr>
                <w:b/>
                <w:color w:val="FFFFFF"/>
                <w:sz w:val="20"/>
                <w:szCs w:val="20"/>
              </w:rPr>
            </w:pPr>
            <w:r>
              <w:rPr>
                <w:b/>
                <w:color w:val="FFFFFF"/>
                <w:sz w:val="20"/>
                <w:szCs w:val="20"/>
              </w:rPr>
              <w:t>(10/1/2013 – 9/30/2014)</w:t>
            </w:r>
          </w:p>
        </w:tc>
        <w:tc>
          <w:tcPr>
            <w:tcW w:w="3297" w:type="dxa"/>
            <w:shd w:val="clear" w:color="auto" w:fill="000000"/>
          </w:tcPr>
          <w:p w:rsidR="00A04111" w:rsidRDefault="00A04111">
            <w:pPr>
              <w:spacing w:after="0" w:line="240" w:lineRule="auto"/>
              <w:jc w:val="center"/>
              <w:rPr>
                <w:b/>
                <w:color w:val="FFFFFF"/>
                <w:sz w:val="20"/>
                <w:szCs w:val="20"/>
              </w:rPr>
            </w:pPr>
            <w:r>
              <w:rPr>
                <w:b/>
                <w:color w:val="FFFFFF"/>
                <w:sz w:val="20"/>
                <w:szCs w:val="20"/>
              </w:rPr>
              <w:t>Year 4</w:t>
            </w:r>
          </w:p>
          <w:p w:rsidR="00A04111" w:rsidRDefault="00A04111">
            <w:pPr>
              <w:spacing w:after="0" w:line="240" w:lineRule="auto"/>
              <w:jc w:val="center"/>
              <w:rPr>
                <w:b/>
                <w:color w:val="FFFFFF"/>
                <w:sz w:val="20"/>
                <w:szCs w:val="20"/>
              </w:rPr>
            </w:pPr>
            <w:r>
              <w:rPr>
                <w:b/>
                <w:color w:val="FFFFFF"/>
                <w:sz w:val="20"/>
                <w:szCs w:val="20"/>
              </w:rPr>
              <w:t>(10/1/2014 – 9/30/2015)</w:t>
            </w:r>
          </w:p>
        </w:tc>
        <w:tc>
          <w:tcPr>
            <w:tcW w:w="3297" w:type="dxa"/>
            <w:shd w:val="clear" w:color="auto" w:fill="000000"/>
          </w:tcPr>
          <w:p w:rsidR="00A04111" w:rsidRDefault="00A04111">
            <w:pPr>
              <w:spacing w:after="0" w:line="240" w:lineRule="auto"/>
              <w:jc w:val="center"/>
              <w:rPr>
                <w:b/>
                <w:color w:val="FFFFFF"/>
                <w:sz w:val="20"/>
                <w:szCs w:val="20"/>
              </w:rPr>
            </w:pPr>
            <w:r>
              <w:rPr>
                <w:b/>
                <w:color w:val="FFFFFF"/>
                <w:sz w:val="20"/>
                <w:szCs w:val="20"/>
              </w:rPr>
              <w:t>Year 5</w:t>
            </w:r>
          </w:p>
          <w:p w:rsidR="00A04111" w:rsidRDefault="00A04111">
            <w:pPr>
              <w:spacing w:after="0" w:line="240" w:lineRule="auto"/>
              <w:jc w:val="center"/>
              <w:rPr>
                <w:b/>
                <w:color w:val="FFFFFF"/>
                <w:sz w:val="20"/>
                <w:szCs w:val="20"/>
              </w:rPr>
            </w:pPr>
            <w:r>
              <w:rPr>
                <w:b/>
                <w:color w:val="FFFFFF"/>
                <w:sz w:val="20"/>
                <w:szCs w:val="20"/>
              </w:rPr>
              <w:t>(10/1/2015 – 9/30/2016)</w:t>
            </w:r>
          </w:p>
        </w:tc>
      </w:tr>
      <w:tr w:rsidR="00A04111">
        <w:trPr>
          <w:trHeight w:val="3635"/>
        </w:trPr>
        <w:tc>
          <w:tcPr>
            <w:tcW w:w="3297" w:type="dxa"/>
          </w:tcPr>
          <w:p w:rsidR="00A04111" w:rsidRDefault="00A04111">
            <w:pPr>
              <w:spacing w:after="0" w:line="240" w:lineRule="auto"/>
              <w:rPr>
                <w:rFonts w:cs="Calibri"/>
                <w:sz w:val="20"/>
                <w:szCs w:val="20"/>
              </w:rPr>
            </w:pPr>
            <w:r>
              <w:rPr>
                <w:rFonts w:cs="Calibri"/>
                <w:b/>
                <w:sz w:val="20"/>
                <w:szCs w:val="20"/>
              </w:rPr>
              <w:t>Process Milestone 1</w:t>
            </w:r>
            <w:r>
              <w:rPr>
                <w:rFonts w:cs="Calibri"/>
                <w:sz w:val="20"/>
                <w:szCs w:val="20"/>
              </w:rPr>
              <w:t xml:space="preserve"> [P-1]: Project planning—engage stakeholders, identify current capacity and needed resources, determine timelines, and document implementation plans.</w:t>
            </w:r>
          </w:p>
          <w:p w:rsidR="00A04111" w:rsidRDefault="00A04111">
            <w:pPr>
              <w:spacing w:after="0" w:line="240" w:lineRule="auto"/>
              <w:ind w:left="240"/>
              <w:rPr>
                <w:rFonts w:cs="Calibri"/>
                <w:sz w:val="20"/>
                <w:szCs w:val="20"/>
              </w:rPr>
            </w:pPr>
            <w:r>
              <w:rPr>
                <w:rFonts w:cs="Calibri"/>
                <w:sz w:val="20"/>
                <w:szCs w:val="20"/>
              </w:rPr>
              <w:t>Data Source: Documentation of project planning.</w:t>
            </w:r>
          </w:p>
          <w:p w:rsidR="00A04111" w:rsidRDefault="00A04111">
            <w:pPr>
              <w:spacing w:after="0" w:line="240" w:lineRule="auto"/>
              <w:rPr>
                <w:rFonts w:cs="Calibri"/>
                <w:sz w:val="20"/>
                <w:szCs w:val="20"/>
              </w:rPr>
            </w:pPr>
          </w:p>
          <w:p w:rsidR="00A04111" w:rsidRDefault="00A04111">
            <w:pPr>
              <w:spacing w:after="0" w:line="240" w:lineRule="auto"/>
              <w:rPr>
                <w:rFonts w:cs="Calibri"/>
                <w:sz w:val="20"/>
                <w:szCs w:val="20"/>
              </w:rPr>
            </w:pPr>
            <w:r>
              <w:rPr>
                <w:rFonts w:cs="Calibri"/>
                <w:sz w:val="20"/>
                <w:szCs w:val="20"/>
              </w:rPr>
              <w:t>Process Milestone 1 Estimated Incentive Payment: $239,595</w:t>
            </w:r>
          </w:p>
          <w:p w:rsidR="00A04111" w:rsidRDefault="00A04111">
            <w:pPr>
              <w:spacing w:after="0" w:line="240" w:lineRule="auto"/>
              <w:rPr>
                <w:rFonts w:cs="Calibri"/>
                <w:sz w:val="20"/>
                <w:szCs w:val="20"/>
              </w:rPr>
            </w:pPr>
          </w:p>
        </w:tc>
        <w:tc>
          <w:tcPr>
            <w:tcW w:w="3297" w:type="dxa"/>
          </w:tcPr>
          <w:p w:rsidR="00A04111" w:rsidRDefault="00A04111">
            <w:pPr>
              <w:spacing w:after="0" w:line="240" w:lineRule="auto"/>
              <w:rPr>
                <w:rFonts w:cs="Calibri"/>
                <w:b/>
                <w:sz w:val="20"/>
                <w:szCs w:val="20"/>
              </w:rPr>
            </w:pPr>
            <w:r>
              <w:rPr>
                <w:rFonts w:cs="Calibri"/>
                <w:b/>
                <w:sz w:val="20"/>
                <w:szCs w:val="20"/>
              </w:rPr>
              <w:t>Process Milestone 2</w:t>
            </w:r>
            <w:r>
              <w:rPr>
                <w:rFonts w:cs="Calibri"/>
                <w:sz w:val="20"/>
                <w:szCs w:val="20"/>
              </w:rPr>
              <w:t xml:space="preserve"> [P-2]: Establish baseline rates.</w:t>
            </w:r>
          </w:p>
          <w:p w:rsidR="00A04111" w:rsidRDefault="00A04111">
            <w:pPr>
              <w:spacing w:after="0" w:line="240" w:lineRule="auto"/>
              <w:ind w:left="303"/>
              <w:rPr>
                <w:rFonts w:cs="Calibri"/>
                <w:b/>
                <w:sz w:val="20"/>
                <w:szCs w:val="20"/>
              </w:rPr>
            </w:pPr>
            <w:r>
              <w:rPr>
                <w:rFonts w:cs="Calibri"/>
                <w:sz w:val="20"/>
                <w:szCs w:val="20"/>
              </w:rPr>
              <w:t>Data Source: EHR; claims; IQR/NHSN data.</w:t>
            </w:r>
          </w:p>
          <w:p w:rsidR="00A04111" w:rsidRDefault="00A04111">
            <w:pPr>
              <w:spacing w:after="0" w:line="240" w:lineRule="auto"/>
              <w:rPr>
                <w:rFonts w:cs="Calibri"/>
                <w:b/>
                <w:sz w:val="20"/>
                <w:szCs w:val="20"/>
              </w:rPr>
            </w:pPr>
          </w:p>
          <w:p w:rsidR="00A04111" w:rsidRDefault="00A04111">
            <w:pPr>
              <w:spacing w:after="0" w:line="240" w:lineRule="auto"/>
              <w:rPr>
                <w:rFonts w:cs="Calibri"/>
                <w:sz w:val="20"/>
                <w:szCs w:val="20"/>
              </w:rPr>
            </w:pPr>
            <w:r>
              <w:rPr>
                <w:rFonts w:cs="Calibri"/>
                <w:sz w:val="20"/>
                <w:szCs w:val="20"/>
              </w:rPr>
              <w:t xml:space="preserve">Process Milestone 2 Estimated Incentive Payment: </w:t>
            </w:r>
            <w:r>
              <w:rPr>
                <w:rFonts w:cs="Calibri"/>
                <w:i/>
                <w:sz w:val="20"/>
                <w:szCs w:val="20"/>
              </w:rPr>
              <w:t xml:space="preserve"> $</w:t>
            </w:r>
            <w:r>
              <w:rPr>
                <w:rFonts w:cs="Calibri"/>
                <w:sz w:val="20"/>
                <w:szCs w:val="20"/>
              </w:rPr>
              <w:t>277,722</w:t>
            </w:r>
          </w:p>
          <w:p w:rsidR="00A04111" w:rsidRDefault="00A04111">
            <w:pPr>
              <w:spacing w:after="0" w:line="240" w:lineRule="auto"/>
              <w:rPr>
                <w:rFonts w:cs="Calibri"/>
                <w:sz w:val="20"/>
                <w:szCs w:val="20"/>
                <w:u w:val="single"/>
              </w:rPr>
            </w:pPr>
          </w:p>
        </w:tc>
        <w:tc>
          <w:tcPr>
            <w:tcW w:w="3297" w:type="dxa"/>
          </w:tcPr>
          <w:p w:rsidR="00A04111" w:rsidRDefault="00A04111">
            <w:pPr>
              <w:spacing w:after="0" w:line="240" w:lineRule="auto"/>
              <w:rPr>
                <w:rFonts w:cs="Calibri"/>
                <w:sz w:val="20"/>
                <w:szCs w:val="20"/>
              </w:rPr>
            </w:pPr>
            <w:r>
              <w:rPr>
                <w:rFonts w:cs="Calibri"/>
                <w:b/>
                <w:sz w:val="20"/>
                <w:szCs w:val="20"/>
              </w:rPr>
              <w:t>Outcome Improvement Target 1</w:t>
            </w:r>
            <w:r>
              <w:rPr>
                <w:rFonts w:cs="Calibri"/>
                <w:sz w:val="20"/>
                <w:szCs w:val="20"/>
              </w:rPr>
              <w:t xml:space="preserve"> [IT-4.3]: Catheter-Associated Urinary Tract Infection (CAUTI) rates.</w:t>
            </w:r>
          </w:p>
          <w:p w:rsidR="00A04111" w:rsidRDefault="00A04111">
            <w:pPr>
              <w:spacing w:after="0" w:line="240" w:lineRule="auto"/>
              <w:ind w:left="126"/>
              <w:rPr>
                <w:rFonts w:cs="Calibri"/>
                <w:sz w:val="20"/>
                <w:szCs w:val="20"/>
              </w:rPr>
            </w:pPr>
            <w:r>
              <w:rPr>
                <w:rFonts w:cs="Calibri"/>
                <w:sz w:val="20"/>
                <w:szCs w:val="20"/>
              </w:rPr>
              <w:t>Numerator: Number of cases of CAUTI as designated by IQR criteria.</w:t>
            </w:r>
          </w:p>
          <w:p w:rsidR="00A04111" w:rsidRDefault="00A04111">
            <w:pPr>
              <w:spacing w:after="0" w:line="240" w:lineRule="auto"/>
              <w:ind w:left="126"/>
              <w:rPr>
                <w:rFonts w:cs="Calibri"/>
                <w:sz w:val="20"/>
                <w:szCs w:val="20"/>
              </w:rPr>
            </w:pPr>
            <w:r>
              <w:rPr>
                <w:rFonts w:cs="Calibri"/>
                <w:sz w:val="20"/>
                <w:szCs w:val="20"/>
              </w:rPr>
              <w:t>Improvement Target: 3% improvement over DY3.</w:t>
            </w:r>
          </w:p>
          <w:p w:rsidR="00A04111" w:rsidRDefault="00A04111">
            <w:pPr>
              <w:spacing w:after="0" w:line="240" w:lineRule="auto"/>
              <w:ind w:left="126"/>
              <w:rPr>
                <w:rFonts w:cs="Calibri"/>
                <w:sz w:val="20"/>
                <w:szCs w:val="20"/>
              </w:rPr>
            </w:pPr>
            <w:r>
              <w:rPr>
                <w:rFonts w:cs="Calibri"/>
                <w:sz w:val="20"/>
                <w:szCs w:val="20"/>
              </w:rPr>
              <w:t>Data Source: EHR; claims; IQR/NHSN data.</w:t>
            </w:r>
          </w:p>
          <w:p w:rsidR="00A04111" w:rsidRDefault="00A04111">
            <w:pPr>
              <w:spacing w:after="0" w:line="240" w:lineRule="auto"/>
              <w:rPr>
                <w:rFonts w:cs="Calibri"/>
                <w:sz w:val="20"/>
                <w:szCs w:val="20"/>
              </w:rPr>
            </w:pPr>
          </w:p>
          <w:p w:rsidR="00A04111" w:rsidRDefault="00A04111">
            <w:pPr>
              <w:spacing w:after="0" w:line="240" w:lineRule="auto"/>
              <w:rPr>
                <w:rFonts w:cs="Calibri"/>
                <w:sz w:val="20"/>
                <w:szCs w:val="20"/>
              </w:rPr>
            </w:pPr>
            <w:r>
              <w:rPr>
                <w:rFonts w:cs="Calibri"/>
                <w:sz w:val="20"/>
                <w:szCs w:val="20"/>
              </w:rPr>
              <w:t>Outcome Improvement Target 1 Estimated Incentive Payment</w:t>
            </w:r>
            <w:r>
              <w:rPr>
                <w:rFonts w:cs="Calibri"/>
                <w:i/>
                <w:sz w:val="20"/>
                <w:szCs w:val="20"/>
              </w:rPr>
              <w:t>:  $</w:t>
            </w:r>
            <w:r>
              <w:rPr>
                <w:rFonts w:cs="Calibri"/>
                <w:sz w:val="20"/>
                <w:szCs w:val="20"/>
              </w:rPr>
              <w:t>445,647</w:t>
            </w:r>
          </w:p>
          <w:p w:rsidR="00A04111" w:rsidRDefault="00A04111">
            <w:pPr>
              <w:spacing w:after="0" w:line="240" w:lineRule="auto"/>
              <w:rPr>
                <w:rFonts w:cs="Calibri"/>
                <w:sz w:val="20"/>
                <w:szCs w:val="20"/>
              </w:rPr>
            </w:pPr>
          </w:p>
        </w:tc>
        <w:tc>
          <w:tcPr>
            <w:tcW w:w="3297" w:type="dxa"/>
          </w:tcPr>
          <w:p w:rsidR="00A04111" w:rsidRDefault="00A04111">
            <w:pPr>
              <w:spacing w:after="0" w:line="240" w:lineRule="auto"/>
              <w:rPr>
                <w:rFonts w:cs="Calibri"/>
                <w:sz w:val="20"/>
                <w:szCs w:val="20"/>
              </w:rPr>
            </w:pPr>
            <w:r>
              <w:rPr>
                <w:rFonts w:cs="Calibri"/>
                <w:b/>
                <w:sz w:val="20"/>
                <w:szCs w:val="20"/>
              </w:rPr>
              <w:t>Outcome Improvement Target 2</w:t>
            </w:r>
            <w:r>
              <w:rPr>
                <w:rFonts w:cs="Calibri"/>
                <w:sz w:val="20"/>
                <w:szCs w:val="20"/>
              </w:rPr>
              <w:t xml:space="preserve"> [IT-4.3]: Catheter-Associated Urinary Tract Infection (CAUTI) rates.</w:t>
            </w:r>
          </w:p>
          <w:p w:rsidR="00A04111" w:rsidRDefault="00A04111">
            <w:pPr>
              <w:spacing w:after="0" w:line="240" w:lineRule="auto"/>
              <w:ind w:left="126"/>
              <w:rPr>
                <w:rFonts w:cs="Calibri"/>
                <w:sz w:val="20"/>
                <w:szCs w:val="20"/>
              </w:rPr>
            </w:pPr>
            <w:r>
              <w:rPr>
                <w:rFonts w:cs="Calibri"/>
                <w:sz w:val="20"/>
                <w:szCs w:val="20"/>
              </w:rPr>
              <w:t>Numerator: Number of cases of CAUTI as designated by IQR criteria.</w:t>
            </w:r>
          </w:p>
          <w:p w:rsidR="00A04111" w:rsidRDefault="00A04111">
            <w:pPr>
              <w:spacing w:after="0" w:line="240" w:lineRule="auto"/>
              <w:ind w:left="126"/>
              <w:rPr>
                <w:rFonts w:cs="Calibri"/>
                <w:sz w:val="20"/>
                <w:szCs w:val="20"/>
              </w:rPr>
            </w:pPr>
            <w:r>
              <w:rPr>
                <w:rFonts w:cs="Calibri"/>
                <w:sz w:val="20"/>
                <w:szCs w:val="20"/>
              </w:rPr>
              <w:t>Improvement Target: 3% improvement over DY4.</w:t>
            </w:r>
          </w:p>
          <w:p w:rsidR="00A04111" w:rsidRDefault="00A04111">
            <w:pPr>
              <w:spacing w:after="0" w:line="240" w:lineRule="auto"/>
              <w:ind w:left="126"/>
              <w:rPr>
                <w:rFonts w:cs="Calibri"/>
                <w:sz w:val="20"/>
                <w:szCs w:val="20"/>
              </w:rPr>
            </w:pPr>
            <w:r>
              <w:rPr>
                <w:rFonts w:cs="Calibri"/>
                <w:sz w:val="20"/>
                <w:szCs w:val="20"/>
              </w:rPr>
              <w:t>Data Source: EHR; claims; IQR/NHSN data.</w:t>
            </w:r>
          </w:p>
          <w:p w:rsidR="00A04111" w:rsidRDefault="00A04111">
            <w:pPr>
              <w:spacing w:after="0" w:line="240" w:lineRule="auto"/>
              <w:rPr>
                <w:rFonts w:cs="Calibri"/>
                <w:sz w:val="20"/>
                <w:szCs w:val="20"/>
              </w:rPr>
            </w:pPr>
          </w:p>
          <w:p w:rsidR="00A04111" w:rsidRDefault="00A04111">
            <w:pPr>
              <w:spacing w:after="0" w:line="240" w:lineRule="auto"/>
              <w:rPr>
                <w:rFonts w:cs="Calibri"/>
                <w:sz w:val="20"/>
                <w:szCs w:val="20"/>
              </w:rPr>
            </w:pPr>
            <w:r>
              <w:rPr>
                <w:rFonts w:cs="Calibri"/>
                <w:sz w:val="20"/>
                <w:szCs w:val="20"/>
              </w:rPr>
              <w:t>Outcome Improvement Target 2 Estimated Incentive Payment</w:t>
            </w:r>
            <w:r>
              <w:rPr>
                <w:rFonts w:cs="Calibri"/>
                <w:i/>
                <w:sz w:val="20"/>
                <w:szCs w:val="20"/>
              </w:rPr>
              <w:t>:  $</w:t>
            </w:r>
            <w:r>
              <w:rPr>
                <w:rFonts w:cs="Calibri"/>
                <w:sz w:val="20"/>
                <w:szCs w:val="20"/>
              </w:rPr>
              <w:t>1,065,677</w:t>
            </w:r>
          </w:p>
          <w:p w:rsidR="00A04111" w:rsidRDefault="00A04111">
            <w:pPr>
              <w:spacing w:after="0" w:line="240" w:lineRule="auto"/>
              <w:rPr>
                <w:rFonts w:cs="Calibri"/>
                <w:sz w:val="20"/>
                <w:szCs w:val="20"/>
              </w:rPr>
            </w:pPr>
          </w:p>
        </w:tc>
      </w:tr>
      <w:tr w:rsidR="00A04111">
        <w:trPr>
          <w:trHeight w:val="557"/>
        </w:trPr>
        <w:tc>
          <w:tcPr>
            <w:tcW w:w="3297" w:type="dxa"/>
          </w:tcPr>
          <w:p w:rsidR="00A04111" w:rsidRDefault="00A04111">
            <w:pPr>
              <w:spacing w:after="0" w:line="240" w:lineRule="auto"/>
              <w:rPr>
                <w:rFonts w:cs="Calibri"/>
                <w:sz w:val="20"/>
                <w:szCs w:val="20"/>
              </w:rPr>
            </w:pPr>
            <w:r>
              <w:rPr>
                <w:rFonts w:cs="Calibri"/>
                <w:sz w:val="20"/>
                <w:szCs w:val="20"/>
              </w:rPr>
              <w:t>Year 2 Estimated Outcome Amount: $239,595</w:t>
            </w:r>
          </w:p>
        </w:tc>
        <w:tc>
          <w:tcPr>
            <w:tcW w:w="3297" w:type="dxa"/>
          </w:tcPr>
          <w:p w:rsidR="00A04111" w:rsidRDefault="00A04111">
            <w:pPr>
              <w:spacing w:after="0" w:line="240" w:lineRule="auto"/>
              <w:rPr>
                <w:rFonts w:cs="Calibri"/>
                <w:sz w:val="20"/>
                <w:szCs w:val="20"/>
              </w:rPr>
            </w:pPr>
            <w:r>
              <w:rPr>
                <w:rFonts w:cs="Calibri"/>
                <w:sz w:val="20"/>
                <w:szCs w:val="20"/>
              </w:rPr>
              <w:t xml:space="preserve">Year 3 Estimated Outcome Amount:  </w:t>
            </w:r>
            <w:r>
              <w:rPr>
                <w:rFonts w:cs="Calibri"/>
                <w:i/>
                <w:sz w:val="20"/>
                <w:szCs w:val="20"/>
              </w:rPr>
              <w:t>$</w:t>
            </w:r>
            <w:r>
              <w:rPr>
                <w:rFonts w:cs="Calibri"/>
                <w:sz w:val="20"/>
                <w:szCs w:val="20"/>
              </w:rPr>
              <w:t>277,722</w:t>
            </w:r>
          </w:p>
          <w:p w:rsidR="00A04111" w:rsidRDefault="00A04111">
            <w:pPr>
              <w:spacing w:after="0" w:line="240" w:lineRule="auto"/>
              <w:rPr>
                <w:rFonts w:cs="Calibri"/>
                <w:sz w:val="20"/>
                <w:szCs w:val="20"/>
              </w:rPr>
            </w:pPr>
          </w:p>
        </w:tc>
        <w:tc>
          <w:tcPr>
            <w:tcW w:w="3297" w:type="dxa"/>
          </w:tcPr>
          <w:p w:rsidR="00A04111" w:rsidRDefault="00A04111">
            <w:pPr>
              <w:spacing w:after="0" w:line="240" w:lineRule="auto"/>
              <w:rPr>
                <w:rFonts w:cs="Calibri"/>
                <w:sz w:val="20"/>
                <w:szCs w:val="20"/>
              </w:rPr>
            </w:pPr>
            <w:r>
              <w:rPr>
                <w:rFonts w:cs="Calibri"/>
                <w:sz w:val="20"/>
                <w:szCs w:val="20"/>
              </w:rPr>
              <w:t xml:space="preserve">Year 4 Estimated Outcome Amount: </w:t>
            </w:r>
            <w:r>
              <w:rPr>
                <w:rFonts w:cs="Calibri"/>
                <w:i/>
                <w:sz w:val="20"/>
                <w:szCs w:val="20"/>
              </w:rPr>
              <w:t>$</w:t>
            </w:r>
            <w:r>
              <w:rPr>
                <w:rFonts w:cs="Calibri"/>
                <w:sz w:val="20"/>
                <w:szCs w:val="20"/>
              </w:rPr>
              <w:t>445,647</w:t>
            </w:r>
          </w:p>
        </w:tc>
        <w:tc>
          <w:tcPr>
            <w:tcW w:w="3297" w:type="dxa"/>
          </w:tcPr>
          <w:p w:rsidR="00A04111" w:rsidRDefault="00A04111">
            <w:pPr>
              <w:spacing w:after="0" w:line="240" w:lineRule="auto"/>
              <w:rPr>
                <w:rFonts w:cs="Calibri"/>
                <w:sz w:val="20"/>
                <w:szCs w:val="20"/>
              </w:rPr>
            </w:pPr>
            <w:r>
              <w:rPr>
                <w:rFonts w:cs="Calibri"/>
                <w:sz w:val="20"/>
                <w:szCs w:val="20"/>
              </w:rPr>
              <w:t xml:space="preserve">Year 5 Estimated Outcome Amount:  </w:t>
            </w:r>
            <w:r>
              <w:rPr>
                <w:rFonts w:cs="Calibri"/>
                <w:i/>
                <w:sz w:val="20"/>
                <w:szCs w:val="20"/>
              </w:rPr>
              <w:t>$</w:t>
            </w:r>
            <w:r>
              <w:rPr>
                <w:rFonts w:cs="Calibri"/>
                <w:sz w:val="20"/>
                <w:szCs w:val="20"/>
              </w:rPr>
              <w:t>1,065,67</w:t>
            </w:r>
          </w:p>
        </w:tc>
      </w:tr>
      <w:tr w:rsidR="00A04111">
        <w:trPr>
          <w:trHeight w:val="377"/>
        </w:trPr>
        <w:tc>
          <w:tcPr>
            <w:tcW w:w="13188" w:type="dxa"/>
            <w:gridSpan w:val="4"/>
          </w:tcPr>
          <w:p w:rsidR="00A04111" w:rsidRDefault="00A04111">
            <w:pPr>
              <w:spacing w:after="0" w:line="240" w:lineRule="auto"/>
              <w:rPr>
                <w:rFonts w:cs="Calibri"/>
              </w:rPr>
            </w:pPr>
            <w:r>
              <w:rPr>
                <w:rFonts w:cs="Calibri"/>
                <w:b/>
              </w:rPr>
              <w:t>TOTAL ESTIMATED INCENTIVE PAYMENTS FOR 4-YEAR PERIOD:</w:t>
            </w:r>
            <w:r>
              <w:rPr>
                <w:rFonts w:cs="Calibri"/>
              </w:rPr>
              <w:t xml:space="preserve"> $2,028,641</w:t>
            </w:r>
          </w:p>
        </w:tc>
      </w:tr>
    </w:tbl>
    <w:p w:rsidR="00A04111" w:rsidRDefault="00A04111">
      <w:pPr>
        <w:spacing w:after="0" w:line="240" w:lineRule="auto"/>
        <w:rPr>
          <w:rFonts w:ascii="Times New Roman" w:hAnsi="Times New Roman"/>
          <w:b/>
          <w:sz w:val="16"/>
          <w:szCs w:val="16"/>
        </w:rPr>
      </w:pPr>
    </w:p>
    <w:p w:rsidR="00A04111" w:rsidRDefault="00A04111">
      <w:pPr>
        <w:spacing w:after="0" w:line="240" w:lineRule="auto"/>
        <w:rPr>
          <w:rFonts w:ascii="Times New Roman" w:hAnsi="Times New Roman"/>
          <w:sz w:val="24"/>
          <w:szCs w:val="24"/>
        </w:rPr>
      </w:pPr>
    </w:p>
    <w:p w:rsidR="00A04111" w:rsidRDefault="00A04111">
      <w:r>
        <w:t>95024</w:t>
      </w:r>
    </w:p>
    <w:sectPr w:rsidR="00A04111" w:rsidSect="00422F69">
      <w:footerReference w:type="even" r:id="rId13"/>
      <w:footerReference w:type="defaul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111" w:rsidRDefault="00A04111">
      <w:pPr>
        <w:spacing w:after="0" w:line="240" w:lineRule="auto"/>
      </w:pPr>
      <w:r>
        <w:separator/>
      </w:r>
    </w:p>
  </w:endnote>
  <w:endnote w:type="continuationSeparator" w:id="0">
    <w:p w:rsidR="00A04111" w:rsidRDefault="00A04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11" w:rsidRDefault="00A04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4111" w:rsidRDefault="00A041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11" w:rsidRDefault="00A04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4111" w:rsidRDefault="00A04111">
    <w:pPr>
      <w:pStyle w:val="Footer"/>
      <w:ind w:right="360"/>
      <w:rPr>
        <w:rFonts w:ascii="Cambria" w:hAnsi="Cambr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11" w:rsidRDefault="00A04111">
    <w:pPr>
      <w:pStyle w:val="Footer"/>
      <w:framePr w:wrap="around" w:vAnchor="text" w:hAnchor="margin" w:xAlign="right" w:y="1"/>
      <w:rPr>
        <w:rStyle w:val="PageNumber"/>
        <w:rFonts w:ascii="Calibri" w:hAnsi="Calibri"/>
      </w:rPr>
    </w:pPr>
    <w:r>
      <w:rPr>
        <w:rStyle w:val="PageNumber"/>
        <w:rFonts w:ascii="Calibri" w:hAnsi="Calibri"/>
      </w:rPr>
      <w:fldChar w:fldCharType="begin"/>
    </w:r>
    <w:r>
      <w:rPr>
        <w:rStyle w:val="PageNumber"/>
        <w:rFonts w:ascii="Calibri" w:hAnsi="Calibri"/>
      </w:rPr>
      <w:instrText xml:space="preserve">PAGE  </w:instrText>
    </w:r>
    <w:r>
      <w:rPr>
        <w:rStyle w:val="PageNumber"/>
        <w:rFonts w:ascii="Calibri" w:hAnsi="Calibri"/>
      </w:rPr>
      <w:fldChar w:fldCharType="separate"/>
    </w:r>
    <w:r>
      <w:rPr>
        <w:rStyle w:val="PageNumber"/>
        <w:rFonts w:ascii="Calibri" w:hAnsi="Calibri"/>
        <w:noProof/>
      </w:rPr>
      <w:t>4</w:t>
    </w:r>
    <w:r>
      <w:rPr>
        <w:rStyle w:val="PageNumber"/>
        <w:rFonts w:ascii="Calibri" w:hAnsi="Calibri"/>
      </w:rPr>
      <w:fldChar w:fldCharType="end"/>
    </w:r>
  </w:p>
  <w:p w:rsidR="00A04111" w:rsidRDefault="00A0411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11" w:rsidRDefault="00A04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4111" w:rsidRDefault="00A04111">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11" w:rsidRDefault="00A04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04111" w:rsidRDefault="00A04111">
    <w:pPr>
      <w:pStyle w:val="Footer"/>
      <w:ind w:right="360"/>
      <w:rPr>
        <w:rFonts w:ascii="Cambria" w:hAnsi="Cambr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11" w:rsidRDefault="00A04111">
    <w:pPr>
      <w:pStyle w:val="Footer"/>
      <w:framePr w:wrap="around" w:vAnchor="text" w:hAnchor="margin" w:xAlign="right" w:y="1"/>
      <w:rPr>
        <w:rStyle w:val="PageNumber"/>
        <w:rFonts w:ascii="Calibri" w:hAnsi="Calibri"/>
      </w:rPr>
    </w:pPr>
    <w:r>
      <w:rPr>
        <w:rStyle w:val="PageNumber"/>
        <w:rFonts w:ascii="Calibri" w:hAnsi="Calibri"/>
      </w:rPr>
      <w:fldChar w:fldCharType="begin"/>
    </w:r>
    <w:r>
      <w:rPr>
        <w:rStyle w:val="PageNumber"/>
        <w:rFonts w:ascii="Calibri" w:hAnsi="Calibri"/>
      </w:rPr>
      <w:instrText xml:space="preserve">PAGE  </w:instrText>
    </w:r>
    <w:r>
      <w:rPr>
        <w:rStyle w:val="PageNumber"/>
        <w:rFonts w:ascii="Calibri" w:hAnsi="Calibri"/>
      </w:rPr>
      <w:fldChar w:fldCharType="separate"/>
    </w:r>
    <w:r>
      <w:rPr>
        <w:rStyle w:val="PageNumber"/>
        <w:rFonts w:ascii="Calibri" w:hAnsi="Calibri"/>
        <w:noProof/>
      </w:rPr>
      <w:t>4</w:t>
    </w:r>
    <w:r>
      <w:rPr>
        <w:rStyle w:val="PageNumber"/>
        <w:rFonts w:ascii="Calibri" w:hAnsi="Calibri"/>
      </w:rPr>
      <w:fldChar w:fldCharType="end"/>
    </w:r>
  </w:p>
  <w:p w:rsidR="00A04111" w:rsidRDefault="00A041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111" w:rsidRDefault="00A04111">
      <w:pPr>
        <w:spacing w:after="0" w:line="240" w:lineRule="auto"/>
      </w:pPr>
      <w:r>
        <w:separator/>
      </w:r>
    </w:p>
  </w:footnote>
  <w:footnote w:type="continuationSeparator" w:id="0">
    <w:p w:rsidR="00A04111" w:rsidRDefault="00A041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11" w:rsidRDefault="00A041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11" w:rsidRDefault="00A041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11" w:rsidRDefault="00A041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7078"/>
    <w:multiLevelType w:val="hybridMultilevel"/>
    <w:tmpl w:val="D17E4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8D1E57EE">
      <w:start w:val="1"/>
      <w:numFmt w:val="decimal"/>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4044E"/>
    <w:multiLevelType w:val="hybridMultilevel"/>
    <w:tmpl w:val="B5028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34A74"/>
    <w:multiLevelType w:val="hybridMultilevel"/>
    <w:tmpl w:val="0E56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B35BC"/>
    <w:multiLevelType w:val="hybridMultilevel"/>
    <w:tmpl w:val="3D66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3F24CB"/>
    <w:multiLevelType w:val="hybridMultilevel"/>
    <w:tmpl w:val="A558CC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111"/>
    <w:rsid w:val="00422F69"/>
    <w:rsid w:val="00A041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Footer">
    <w:name w:val="footer"/>
    <w:basedOn w:val="Normal"/>
    <w:link w:val="FooterChar"/>
    <w:uiPriority w:val="99"/>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ascii="Calibri" w:hAnsi="Calibri"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540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614</Words>
  <Characters>3505</Characters>
  <Application>Microsoft Office Outlook</Application>
  <DocSecurity>0</DocSecurity>
  <Lines>0</Lines>
  <Paragraphs>0</Paragraphs>
  <ScaleCrop>false</ScaleCrop>
  <Company>Gjerset &amp; Lorenz,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Paso) UMC DSRIP Category 3 - IT 4.3 Urinary Tract Infection (00095024).DOCX</dc:title>
  <dc:subject/>
  <dc:creator>Frances Hansen</dc:creator>
  <cp:keywords/>
  <dc:description/>
  <cp:lastModifiedBy>Thomason</cp:lastModifiedBy>
  <cp:revision>2</cp:revision>
  <cp:lastPrinted>2012-10-25T15:29:00Z</cp:lastPrinted>
  <dcterms:created xsi:type="dcterms:W3CDTF">2012-11-06T20:34:00Z</dcterms:created>
  <dcterms:modified xsi:type="dcterms:W3CDTF">2012-11-06T20:34:00Z</dcterms:modified>
</cp:coreProperties>
</file>