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BBA" w:rsidRDefault="00DF2BBA">
      <w:pPr>
        <w:spacing w:after="0" w:line="240" w:lineRule="auto"/>
        <w:rPr>
          <w:sz w:val="24"/>
          <w:szCs w:val="24"/>
        </w:rPr>
      </w:pPr>
      <w:r>
        <w:rPr>
          <w:b/>
          <w:sz w:val="24"/>
          <w:szCs w:val="24"/>
          <w:u w:val="single"/>
        </w:rPr>
        <w:t>Title of Outcome Measure (Improvement Target):</w:t>
      </w:r>
      <w:r>
        <w:rPr>
          <w:b/>
          <w:sz w:val="24"/>
          <w:szCs w:val="24"/>
        </w:rPr>
        <w:t xml:space="preserve"> </w:t>
      </w:r>
      <w:r>
        <w:rPr>
          <w:sz w:val="24"/>
          <w:szCs w:val="24"/>
        </w:rPr>
        <w:t>IT-6.1: Percent Improvement over Baseline of Patient Satisfaction Scores</w:t>
      </w:r>
    </w:p>
    <w:p w:rsidR="00DF2BBA" w:rsidRDefault="00DF2BBA">
      <w:pPr>
        <w:spacing w:after="0" w:line="240" w:lineRule="auto"/>
        <w:rPr>
          <w:sz w:val="24"/>
          <w:szCs w:val="24"/>
        </w:rPr>
      </w:pPr>
    </w:p>
    <w:p w:rsidR="00DF2BBA" w:rsidRDefault="00DF2BBA">
      <w:pPr>
        <w:spacing w:after="0" w:line="240" w:lineRule="auto"/>
        <w:rPr>
          <w:b/>
          <w:sz w:val="24"/>
          <w:szCs w:val="24"/>
          <w:u w:val="single"/>
        </w:rPr>
      </w:pPr>
      <w:r>
        <w:rPr>
          <w:b/>
          <w:sz w:val="24"/>
          <w:szCs w:val="24"/>
          <w:u w:val="single"/>
        </w:rPr>
        <w:t>Unique RHP outcome identification number(s</w:t>
      </w:r>
      <w:r>
        <w:rPr>
          <w:b/>
          <w:sz w:val="24"/>
          <w:szCs w:val="24"/>
        </w:rPr>
        <w:t xml:space="preserve">):  138951211.3.3, 138951211.3.4, 138951211.3.5, </w:t>
      </w:r>
    </w:p>
    <w:p w:rsidR="00DF2BBA" w:rsidRDefault="00DF2BBA">
      <w:pPr>
        <w:spacing w:after="0" w:line="240" w:lineRule="auto"/>
        <w:rPr>
          <w:b/>
          <w:sz w:val="24"/>
          <w:szCs w:val="24"/>
        </w:rPr>
      </w:pPr>
    </w:p>
    <w:p w:rsidR="00DF2BBA" w:rsidRDefault="00DF2BBA">
      <w:pPr>
        <w:spacing w:after="0" w:line="240" w:lineRule="auto"/>
        <w:rPr>
          <w:b/>
          <w:sz w:val="24"/>
          <w:szCs w:val="24"/>
          <w:u w:val="single"/>
        </w:rPr>
      </w:pPr>
      <w:r>
        <w:rPr>
          <w:b/>
          <w:sz w:val="24"/>
          <w:szCs w:val="24"/>
          <w:u w:val="single"/>
        </w:rPr>
        <w:t xml:space="preserve">Outcome Measure Description:  </w:t>
      </w:r>
    </w:p>
    <w:p w:rsidR="00DF2BBA" w:rsidRDefault="00DF2BBA">
      <w:pPr>
        <w:spacing w:after="0" w:line="240" w:lineRule="auto"/>
        <w:rPr>
          <w:b/>
          <w:sz w:val="24"/>
          <w:szCs w:val="24"/>
          <w:u w:val="single"/>
        </w:rPr>
      </w:pPr>
      <w:r>
        <w:rPr>
          <w:sz w:val="24"/>
          <w:szCs w:val="24"/>
        </w:rPr>
        <w:t>IT- 6.1:</w:t>
      </w:r>
      <w:r>
        <w:rPr>
          <w:b/>
          <w:sz w:val="24"/>
          <w:szCs w:val="24"/>
        </w:rPr>
        <w:t xml:space="preserve"> </w:t>
      </w:r>
      <w:r>
        <w:rPr>
          <w:sz w:val="24"/>
          <w:szCs w:val="24"/>
        </w:rPr>
        <w:t>Percent Improvement over Baseline of Patient Satisfaction Scores</w:t>
      </w:r>
    </w:p>
    <w:p w:rsidR="00DF2BBA" w:rsidRDefault="00DF2BBA">
      <w:pPr>
        <w:numPr>
          <w:ilvl w:val="0"/>
          <w:numId w:val="4"/>
        </w:numPr>
        <w:autoSpaceDE w:val="0"/>
        <w:autoSpaceDN w:val="0"/>
        <w:adjustRightInd w:val="0"/>
        <w:spacing w:after="0" w:line="240" w:lineRule="auto"/>
        <w:rPr>
          <w:rFonts w:cs="Calibri"/>
        </w:rPr>
      </w:pPr>
      <w:r>
        <w:rPr>
          <w:rFonts w:cs="Calibri"/>
        </w:rPr>
        <w:t>Rate 1: Patient’s rating of whether patient is getting timely care, appointments, and information (138951211.1.3)</w:t>
      </w:r>
    </w:p>
    <w:p w:rsidR="00DF2BBA" w:rsidRDefault="00DF2BBA">
      <w:pPr>
        <w:numPr>
          <w:ilvl w:val="0"/>
          <w:numId w:val="4"/>
        </w:numPr>
        <w:autoSpaceDE w:val="0"/>
        <w:autoSpaceDN w:val="0"/>
        <w:adjustRightInd w:val="0"/>
        <w:spacing w:after="0" w:line="240" w:lineRule="auto"/>
        <w:rPr>
          <w:rFonts w:cs="Calibri"/>
        </w:rPr>
      </w:pPr>
      <w:r>
        <w:rPr>
          <w:rFonts w:cs="Calibri"/>
        </w:rPr>
        <w:t>Rate 2: Patient’s rating of whether patient is getting timely care, appointments, and information (138951211.1.4)</w:t>
      </w:r>
    </w:p>
    <w:p w:rsidR="00DF2BBA" w:rsidRDefault="00DF2BBA" w:rsidP="00664D2F">
      <w:pPr>
        <w:numPr>
          <w:ilvl w:val="0"/>
          <w:numId w:val="4"/>
        </w:numPr>
        <w:autoSpaceDE w:val="0"/>
        <w:autoSpaceDN w:val="0"/>
        <w:adjustRightInd w:val="0"/>
        <w:spacing w:after="0" w:line="240" w:lineRule="auto"/>
        <w:rPr>
          <w:rFonts w:cs="Calibri"/>
        </w:rPr>
      </w:pPr>
      <w:r>
        <w:rPr>
          <w:rFonts w:cs="Calibri"/>
        </w:rPr>
        <w:t>Rate 3: Patient’s rating of whether patient is getting timely care, appointments, and information (138951211.1.5)</w:t>
      </w:r>
    </w:p>
    <w:p w:rsidR="00DF2BBA" w:rsidRDefault="00DF2BBA">
      <w:pPr>
        <w:autoSpaceDE w:val="0"/>
        <w:autoSpaceDN w:val="0"/>
        <w:adjustRightInd w:val="0"/>
        <w:spacing w:after="0" w:line="240" w:lineRule="auto"/>
        <w:rPr>
          <w:rFonts w:cs="Calibri"/>
        </w:rPr>
      </w:pPr>
    </w:p>
    <w:p w:rsidR="00DF2BBA" w:rsidRDefault="00DF2BBA">
      <w:pPr>
        <w:spacing w:after="0" w:line="240" w:lineRule="auto"/>
        <w:rPr>
          <w:b/>
          <w:sz w:val="24"/>
          <w:szCs w:val="24"/>
        </w:rPr>
      </w:pPr>
      <w:r>
        <w:rPr>
          <w:b/>
          <w:sz w:val="24"/>
          <w:szCs w:val="24"/>
        </w:rPr>
        <w:t xml:space="preserve">Process Milestones: </w:t>
      </w:r>
    </w:p>
    <w:p w:rsidR="00DF2BBA" w:rsidRDefault="00DF2BBA">
      <w:pPr>
        <w:numPr>
          <w:ilvl w:val="0"/>
          <w:numId w:val="5"/>
        </w:numPr>
        <w:spacing w:after="0" w:line="240" w:lineRule="auto"/>
        <w:rPr>
          <w:sz w:val="24"/>
          <w:szCs w:val="24"/>
        </w:rPr>
      </w:pPr>
      <w:r>
        <w:rPr>
          <w:sz w:val="24"/>
          <w:szCs w:val="24"/>
        </w:rPr>
        <w:t xml:space="preserve">DY2: </w:t>
      </w:r>
    </w:p>
    <w:p w:rsidR="00DF2BBA" w:rsidRDefault="00DF2BBA">
      <w:pPr>
        <w:numPr>
          <w:ilvl w:val="1"/>
          <w:numId w:val="5"/>
        </w:numPr>
        <w:spacing w:after="0" w:line="240" w:lineRule="auto"/>
        <w:rPr>
          <w:sz w:val="24"/>
          <w:szCs w:val="24"/>
        </w:rPr>
      </w:pPr>
      <w:r>
        <w:rPr>
          <w:sz w:val="24"/>
          <w:szCs w:val="24"/>
        </w:rPr>
        <w:t>P-1 – Project planning – engage stakeholders, identify current capacity and needed resources, determine timelines and document implementation plans</w:t>
      </w:r>
    </w:p>
    <w:p w:rsidR="00DF2BBA" w:rsidRDefault="00DF2BBA">
      <w:pPr>
        <w:numPr>
          <w:ilvl w:val="0"/>
          <w:numId w:val="5"/>
        </w:numPr>
        <w:spacing w:after="0" w:line="240" w:lineRule="auto"/>
        <w:rPr>
          <w:sz w:val="24"/>
          <w:szCs w:val="24"/>
        </w:rPr>
      </w:pPr>
      <w:r>
        <w:rPr>
          <w:sz w:val="24"/>
          <w:szCs w:val="24"/>
        </w:rPr>
        <w:t xml:space="preserve">DY3: </w:t>
      </w:r>
    </w:p>
    <w:p w:rsidR="00DF2BBA" w:rsidRDefault="00DF2BBA">
      <w:pPr>
        <w:numPr>
          <w:ilvl w:val="1"/>
          <w:numId w:val="5"/>
        </w:numPr>
        <w:spacing w:after="0" w:line="240" w:lineRule="auto"/>
        <w:rPr>
          <w:sz w:val="24"/>
          <w:szCs w:val="24"/>
        </w:rPr>
      </w:pPr>
      <w:r>
        <w:rPr>
          <w:sz w:val="24"/>
          <w:szCs w:val="24"/>
        </w:rPr>
        <w:t>P-2 – Establish baseline rates for rates 1 through 3</w:t>
      </w:r>
    </w:p>
    <w:p w:rsidR="00DF2BBA" w:rsidRDefault="00DF2BBA">
      <w:pPr>
        <w:spacing w:after="0" w:line="240" w:lineRule="auto"/>
        <w:ind w:left="720"/>
        <w:rPr>
          <w:sz w:val="24"/>
          <w:szCs w:val="24"/>
        </w:rPr>
      </w:pPr>
    </w:p>
    <w:p w:rsidR="00DF2BBA" w:rsidRDefault="00DF2BBA">
      <w:pPr>
        <w:spacing w:after="0" w:line="240" w:lineRule="auto"/>
        <w:rPr>
          <w:b/>
          <w:sz w:val="24"/>
          <w:szCs w:val="24"/>
        </w:rPr>
      </w:pPr>
      <w:r>
        <w:rPr>
          <w:b/>
          <w:sz w:val="24"/>
          <w:szCs w:val="24"/>
        </w:rPr>
        <w:t>Outcome Improvement Targets for each year:</w:t>
      </w:r>
    </w:p>
    <w:p w:rsidR="00DF2BBA" w:rsidRDefault="00DF2BBA">
      <w:pPr>
        <w:numPr>
          <w:ilvl w:val="0"/>
          <w:numId w:val="5"/>
        </w:numPr>
        <w:spacing w:after="0" w:line="240" w:lineRule="auto"/>
        <w:rPr>
          <w:sz w:val="24"/>
          <w:szCs w:val="24"/>
        </w:rPr>
      </w:pPr>
      <w:r>
        <w:rPr>
          <w:sz w:val="24"/>
          <w:szCs w:val="24"/>
        </w:rPr>
        <w:t xml:space="preserve">DY4: </w:t>
      </w:r>
    </w:p>
    <w:p w:rsidR="00DF2BBA" w:rsidRDefault="00DF2BBA">
      <w:pPr>
        <w:numPr>
          <w:ilvl w:val="1"/>
          <w:numId w:val="5"/>
        </w:numPr>
        <w:spacing w:after="0" w:line="240" w:lineRule="auto"/>
        <w:rPr>
          <w:sz w:val="24"/>
          <w:szCs w:val="24"/>
        </w:rPr>
      </w:pPr>
      <w:r>
        <w:rPr>
          <w:sz w:val="24"/>
          <w:szCs w:val="24"/>
        </w:rPr>
        <w:t>IT-6.1: Patient’s rating of whether patient is getting timely care, appointments, and information—TBD improvement over DY3</w:t>
      </w:r>
    </w:p>
    <w:p w:rsidR="00DF2BBA" w:rsidRDefault="00DF2BBA">
      <w:pPr>
        <w:numPr>
          <w:ilvl w:val="0"/>
          <w:numId w:val="5"/>
        </w:numPr>
        <w:spacing w:after="0" w:line="240" w:lineRule="auto"/>
        <w:rPr>
          <w:sz w:val="24"/>
          <w:szCs w:val="24"/>
        </w:rPr>
      </w:pPr>
      <w:r>
        <w:rPr>
          <w:sz w:val="24"/>
          <w:szCs w:val="24"/>
        </w:rPr>
        <w:t>DY5:</w:t>
      </w:r>
    </w:p>
    <w:p w:rsidR="00DF2BBA" w:rsidRDefault="00DF2BBA">
      <w:pPr>
        <w:numPr>
          <w:ilvl w:val="1"/>
          <w:numId w:val="5"/>
        </w:numPr>
        <w:spacing w:after="0" w:line="240" w:lineRule="auto"/>
        <w:rPr>
          <w:sz w:val="24"/>
          <w:szCs w:val="24"/>
        </w:rPr>
      </w:pPr>
      <w:r>
        <w:rPr>
          <w:sz w:val="24"/>
          <w:szCs w:val="24"/>
        </w:rPr>
        <w:t>IT-6.1: Patient’s rating of whether patient is getting timely care, appointments, and information—TBD improvement over DY4</w:t>
      </w:r>
    </w:p>
    <w:p w:rsidR="00DF2BBA" w:rsidRDefault="00DF2BBA">
      <w:pPr>
        <w:spacing w:after="0" w:line="240" w:lineRule="auto"/>
        <w:ind w:left="1440"/>
        <w:rPr>
          <w:sz w:val="24"/>
          <w:szCs w:val="24"/>
        </w:rPr>
      </w:pPr>
    </w:p>
    <w:p w:rsidR="00DF2BBA" w:rsidRDefault="00DF2BBA">
      <w:pPr>
        <w:spacing w:after="0" w:line="240" w:lineRule="auto"/>
        <w:rPr>
          <w:sz w:val="24"/>
          <w:szCs w:val="24"/>
        </w:rPr>
      </w:pPr>
      <w:r>
        <w:rPr>
          <w:b/>
          <w:sz w:val="24"/>
          <w:szCs w:val="24"/>
          <w:u w:val="single"/>
        </w:rPr>
        <w:t>Rationale</w:t>
      </w:r>
      <w:r>
        <w:rPr>
          <w:b/>
          <w:sz w:val="24"/>
          <w:szCs w:val="24"/>
        </w:rPr>
        <w:t xml:space="preserve">: </w:t>
      </w:r>
    </w:p>
    <w:p w:rsidR="00DF2BBA" w:rsidRDefault="00DF2BBA">
      <w:pPr>
        <w:spacing w:after="120" w:line="240" w:lineRule="auto"/>
        <w:rPr>
          <w:sz w:val="24"/>
          <w:szCs w:val="24"/>
        </w:rPr>
      </w:pPr>
      <w:r>
        <w:rPr>
          <w:sz w:val="24"/>
          <w:szCs w:val="24"/>
        </w:rPr>
        <w:t>UMC believes that the successful implementation of the three associated Category 1 projects will result in an improvement in patient satisfaction scores—specifically, an improvement of patients’ ratings of whether they are receiving timely care, appointments, and information.</w:t>
      </w:r>
    </w:p>
    <w:p w:rsidR="00DF2BBA" w:rsidRDefault="00DF2BBA">
      <w:pPr>
        <w:spacing w:after="120" w:line="240" w:lineRule="auto"/>
        <w:rPr>
          <w:sz w:val="24"/>
          <w:szCs w:val="24"/>
        </w:rPr>
      </w:pPr>
      <w:r>
        <w:rPr>
          <w:sz w:val="24"/>
          <w:szCs w:val="24"/>
        </w:rPr>
        <w:t>UMC proposes to utilize the RAND VSQ-9 Patient Satisfaction Survey to measure these patient satisfaction rates. UMC has gained experience with Press Ganey survey instruments within the past decade. Overall response rates for these survey instruments were very low—in the single-digit range. UMC believes there are a series of structural issues that drove this poor response rate. The population served by UMC includes a large number of low-income patients. Challenges related to incorrect and changing addresses, and the comprehension level required to complete more complex survey tools such as Press Ganey (and CG-CAHPS) also limited the response rates for UMC’s surveys. Also, UMC’s Region shares an international border with Juarez, Mexico; many patients, whether documented or not, may fear responding to such a survey, not fully understanding the importance of their response, and not recognizing that their participation has no impact on their residence in the Region.</w:t>
      </w:r>
    </w:p>
    <w:p w:rsidR="00DF2BBA" w:rsidRDefault="00DF2BBA">
      <w:pPr>
        <w:spacing w:after="120" w:line="240" w:lineRule="auto"/>
        <w:rPr>
          <w:sz w:val="24"/>
          <w:szCs w:val="24"/>
        </w:rPr>
      </w:pPr>
      <w:r>
        <w:rPr>
          <w:sz w:val="24"/>
          <w:szCs w:val="24"/>
        </w:rPr>
        <w:t xml:space="preserve">For these reasons, UMC believes that a short survey, administered at the point of service, represents the best option to obtain meaningful data across a wide patient representation. The </w:t>
      </w:r>
      <w:smartTag w:uri="urn:schemas-microsoft-com:office:smarttags" w:element="place">
        <w:r>
          <w:rPr>
            <w:sz w:val="24"/>
            <w:szCs w:val="24"/>
          </w:rPr>
          <w:t>RAND</w:t>
        </w:r>
      </w:smartTag>
      <w:r>
        <w:rPr>
          <w:sz w:val="24"/>
          <w:szCs w:val="24"/>
        </w:rPr>
        <w:t xml:space="preserve"> survey has been validated for accuracy and validity and contains questions which focus on high-level patient satisfaction domains and will provide actionable information to improve UMC’s regional care delivery. UMC acknowledges that this survey will not provide results which are directly comparable to CG-CAHPS on a national level. The results of this survey will, however, provide valid, actionable data with which to assess the impact of the associated Category 1 projects in Region 15.</w:t>
      </w:r>
    </w:p>
    <w:p w:rsidR="00DF2BBA" w:rsidRDefault="00DF2BBA">
      <w:pPr>
        <w:spacing w:after="0" w:line="240" w:lineRule="auto"/>
        <w:rPr>
          <w:sz w:val="24"/>
          <w:szCs w:val="24"/>
          <w:u w:val="single"/>
        </w:rPr>
      </w:pPr>
      <w:r>
        <w:rPr>
          <w:b/>
          <w:sz w:val="24"/>
          <w:szCs w:val="24"/>
          <w:u w:val="single"/>
        </w:rPr>
        <w:t xml:space="preserve">Outcome Measure Valuation: </w:t>
      </w:r>
    </w:p>
    <w:p w:rsidR="00DF2BBA" w:rsidRDefault="00DF2BBA">
      <w:pPr>
        <w:spacing w:after="0" w:line="240" w:lineRule="auto"/>
        <w:rPr>
          <w:rFonts w:ascii="Times New Roman" w:hAnsi="Times New Roman"/>
          <w:sz w:val="24"/>
          <w:szCs w:val="24"/>
        </w:rPr>
      </w:pPr>
      <w:r>
        <w:rPr>
          <w:rFonts w:cs="Calibri"/>
          <w:sz w:val="24"/>
          <w:szCs w:val="24"/>
        </w:rPr>
        <w:t>In determining the value of this outcome measure, UMC considered the extent to which an improvement in patients’ ability to get timely care, appointments, and information, measured from the patient perspective, will address the community’s needs, the population which this improvement will serve, the resources and cost necessary to realize the improvement, and the improvement’s conformity to the goals of the Waiver (including supporting the development of a coordinated care delivery system, improving outcomes while containing costs, and improving the healthcare infrastructure). Specifically, the valuation of this outcome measure takes into account the potential of expanding primary care capacity at UMC’s neighborhood health centers (NHCs) to improve quality of care and thereby improve patient outcomes for the target population. The valuation of this outcome measure also takes into account the challenges that UMC will face in realizing and measuring this improvement.</w:t>
      </w:r>
    </w:p>
    <w:p w:rsidR="00DF2BBA" w:rsidRDefault="00DF2BBA">
      <w:pPr>
        <w:numPr>
          <w:ilvl w:val="0"/>
          <w:numId w:val="3"/>
        </w:numPr>
        <w:spacing w:after="0" w:line="240" w:lineRule="auto"/>
        <w:rPr>
          <w:sz w:val="24"/>
          <w:szCs w:val="24"/>
        </w:rPr>
        <w:sectPr w:rsidR="00DF2BBA">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1152" w:left="1008" w:header="720" w:footer="720" w:gutter="0"/>
          <w:cols w:space="720"/>
          <w:docGrid w:linePitch="360"/>
        </w:sectPr>
      </w:pPr>
    </w:p>
    <w:p w:rsidR="00DF2BBA" w:rsidRDefault="00DF2BBA">
      <w:pPr>
        <w:spacing w:after="0" w:line="240" w:lineRule="auto"/>
        <w:ind w:left="720"/>
        <w:rPr>
          <w:i/>
          <w:sz w:val="16"/>
          <w:szCs w:val="16"/>
        </w:rPr>
      </w:pP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7"/>
        <w:gridCol w:w="3297"/>
        <w:gridCol w:w="3297"/>
        <w:gridCol w:w="3297"/>
      </w:tblGrid>
      <w:tr w:rsidR="00DF2BBA">
        <w:trPr>
          <w:trHeight w:val="272"/>
          <w:tblHeader/>
        </w:trPr>
        <w:tc>
          <w:tcPr>
            <w:tcW w:w="3297" w:type="dxa"/>
          </w:tcPr>
          <w:p w:rsidR="00DF2BBA" w:rsidRDefault="00DF2BBA">
            <w:pPr>
              <w:spacing w:after="0" w:line="240" w:lineRule="auto"/>
              <w:jc w:val="center"/>
              <w:rPr>
                <w:rFonts w:cs="Calibri"/>
                <w:i/>
                <w:color w:val="FFFFFF"/>
              </w:rPr>
            </w:pPr>
            <w:r>
              <w:rPr>
                <w:rFonts w:cs="Calibri"/>
                <w:i/>
              </w:rPr>
              <w:t>138951211.3.3, 138951211.3.4, 138951211.3.5</w:t>
            </w:r>
          </w:p>
        </w:tc>
        <w:tc>
          <w:tcPr>
            <w:tcW w:w="3297" w:type="dxa"/>
          </w:tcPr>
          <w:p w:rsidR="00DF2BBA" w:rsidRDefault="00DF2BBA">
            <w:pPr>
              <w:spacing w:after="0" w:line="240" w:lineRule="auto"/>
              <w:jc w:val="center"/>
              <w:rPr>
                <w:rFonts w:cs="Calibri"/>
                <w:b/>
                <w:color w:val="FFFFFF"/>
              </w:rPr>
            </w:pPr>
            <w:r>
              <w:rPr>
                <w:rFonts w:cs="Calibri"/>
                <w:i/>
              </w:rPr>
              <w:t>IT-6.1</w:t>
            </w:r>
          </w:p>
        </w:tc>
        <w:tc>
          <w:tcPr>
            <w:tcW w:w="6594" w:type="dxa"/>
            <w:gridSpan w:val="2"/>
          </w:tcPr>
          <w:p w:rsidR="00DF2BBA" w:rsidRDefault="00DF2BBA">
            <w:pPr>
              <w:spacing w:after="0" w:line="240" w:lineRule="auto"/>
              <w:jc w:val="center"/>
              <w:rPr>
                <w:rFonts w:cs="Calibri"/>
                <w:b/>
                <w:color w:val="FFFFFF"/>
              </w:rPr>
            </w:pPr>
            <w:r>
              <w:rPr>
                <w:rFonts w:cs="Calibri"/>
                <w:i/>
              </w:rPr>
              <w:t>Percent Improvement Over Baseline of Patient Satisfaction Scores</w:t>
            </w:r>
          </w:p>
        </w:tc>
      </w:tr>
      <w:tr w:rsidR="00DF2BBA">
        <w:trPr>
          <w:trHeight w:val="272"/>
          <w:tblHeader/>
        </w:trPr>
        <w:tc>
          <w:tcPr>
            <w:tcW w:w="9891" w:type="dxa"/>
            <w:gridSpan w:val="3"/>
          </w:tcPr>
          <w:p w:rsidR="00DF2BBA" w:rsidRDefault="00DF2BBA">
            <w:pPr>
              <w:spacing w:after="0" w:line="240" w:lineRule="auto"/>
              <w:jc w:val="center"/>
              <w:rPr>
                <w:rFonts w:cs="Calibri"/>
                <w:color w:val="FFFFFF"/>
              </w:rPr>
            </w:pPr>
            <w:smartTag w:uri="urn:schemas-microsoft-com:office:smarttags" w:element="PlaceType">
              <w:r>
                <w:rPr>
                  <w:rFonts w:cs="Calibri"/>
                  <w:i/>
                </w:rPr>
                <w:t>University</w:t>
              </w:r>
            </w:smartTag>
            <w:r>
              <w:rPr>
                <w:rFonts w:cs="Calibri"/>
                <w:i/>
              </w:rPr>
              <w:t xml:space="preserve"> </w:t>
            </w:r>
            <w:smartTag w:uri="urn:schemas-microsoft-com:office:smarttags" w:element="PlaceName">
              <w:r>
                <w:rPr>
                  <w:rFonts w:cs="Calibri"/>
                  <w:i/>
                </w:rPr>
                <w:t>Medical</w:t>
              </w:r>
            </w:smartTag>
            <w:r>
              <w:rPr>
                <w:rFonts w:cs="Calibri"/>
                <w:i/>
              </w:rPr>
              <w:t xml:space="preserve"> </w:t>
            </w:r>
            <w:smartTag w:uri="urn:schemas-microsoft-com:office:smarttags" w:element="PlaceType">
              <w:r>
                <w:rPr>
                  <w:rFonts w:cs="Calibri"/>
                  <w:i/>
                </w:rPr>
                <w:t>Center</w:t>
              </w:r>
            </w:smartTag>
            <w:r>
              <w:rPr>
                <w:rFonts w:cs="Calibri"/>
                <w:i/>
              </w:rPr>
              <w:t xml:space="preserve"> of </w:t>
            </w:r>
            <w:smartTag w:uri="urn:schemas-microsoft-com:office:smarttags" w:element="City">
              <w:smartTag w:uri="urn:schemas-microsoft-com:office:smarttags" w:element="place">
                <w:r>
                  <w:rPr>
                    <w:rFonts w:cs="Calibri"/>
                    <w:i/>
                  </w:rPr>
                  <w:t>El Paso</w:t>
                </w:r>
              </w:smartTag>
            </w:smartTag>
          </w:p>
        </w:tc>
        <w:tc>
          <w:tcPr>
            <w:tcW w:w="3297" w:type="dxa"/>
          </w:tcPr>
          <w:p w:rsidR="00DF2BBA" w:rsidRDefault="00DF2BBA">
            <w:pPr>
              <w:spacing w:after="0" w:line="240" w:lineRule="auto"/>
              <w:jc w:val="center"/>
              <w:rPr>
                <w:rFonts w:cs="Calibri"/>
                <w:b/>
                <w:i/>
                <w:color w:val="FFFFFF"/>
              </w:rPr>
            </w:pPr>
            <w:r>
              <w:rPr>
                <w:rFonts w:cs="Calibri"/>
                <w:i/>
              </w:rPr>
              <w:t>138951211</w:t>
            </w:r>
          </w:p>
        </w:tc>
      </w:tr>
      <w:tr w:rsidR="00DF2BBA">
        <w:trPr>
          <w:trHeight w:val="272"/>
          <w:tblHeader/>
        </w:trPr>
        <w:tc>
          <w:tcPr>
            <w:tcW w:w="3297" w:type="dxa"/>
          </w:tcPr>
          <w:p w:rsidR="00DF2BBA" w:rsidRDefault="00DF2BBA">
            <w:pPr>
              <w:spacing w:after="0" w:line="240" w:lineRule="auto"/>
              <w:jc w:val="center"/>
              <w:rPr>
                <w:rFonts w:cs="Calibri"/>
                <w:b/>
                <w:color w:val="FFFFFF"/>
              </w:rPr>
            </w:pPr>
            <w:r>
              <w:rPr>
                <w:rFonts w:cs="Calibri"/>
                <w:b/>
              </w:rPr>
              <w:t>Related Category 1 or 2 Projects:</w:t>
            </w:r>
            <w:r>
              <w:rPr>
                <w:rFonts w:cs="Calibri"/>
                <w:b/>
                <w:color w:val="FFFFFF"/>
              </w:rPr>
              <w:t>:</w:t>
            </w:r>
          </w:p>
        </w:tc>
        <w:tc>
          <w:tcPr>
            <w:tcW w:w="9891" w:type="dxa"/>
            <w:gridSpan w:val="3"/>
          </w:tcPr>
          <w:p w:rsidR="00DF2BBA" w:rsidRDefault="00DF2BBA">
            <w:pPr>
              <w:spacing w:after="0" w:line="240" w:lineRule="auto"/>
              <w:jc w:val="center"/>
              <w:rPr>
                <w:rFonts w:cs="Calibri"/>
                <w:i/>
                <w:color w:val="FFFFFF"/>
              </w:rPr>
            </w:pPr>
            <w:r>
              <w:rPr>
                <w:rFonts w:cs="Calibri"/>
                <w:i/>
              </w:rPr>
              <w:t>138951211.1.3, 138951211.1.4, 138951211.1.5</w:t>
            </w:r>
          </w:p>
        </w:tc>
      </w:tr>
      <w:tr w:rsidR="00DF2BBA">
        <w:trPr>
          <w:trHeight w:val="272"/>
          <w:tblHeader/>
        </w:trPr>
        <w:tc>
          <w:tcPr>
            <w:tcW w:w="3297" w:type="dxa"/>
          </w:tcPr>
          <w:p w:rsidR="00DF2BBA" w:rsidRDefault="00DF2BBA">
            <w:pPr>
              <w:spacing w:after="0" w:line="240" w:lineRule="auto"/>
              <w:jc w:val="center"/>
              <w:rPr>
                <w:rFonts w:cs="Calibri"/>
                <w:b/>
              </w:rPr>
            </w:pPr>
            <w:r>
              <w:rPr>
                <w:rFonts w:cs="Calibri"/>
                <w:b/>
              </w:rPr>
              <w:t>Starting Point/Baseline:</w:t>
            </w:r>
          </w:p>
        </w:tc>
        <w:tc>
          <w:tcPr>
            <w:tcW w:w="9891" w:type="dxa"/>
            <w:gridSpan w:val="3"/>
          </w:tcPr>
          <w:p w:rsidR="00DF2BBA" w:rsidRDefault="00DF2BBA">
            <w:pPr>
              <w:spacing w:after="0" w:line="240" w:lineRule="auto"/>
              <w:jc w:val="center"/>
              <w:rPr>
                <w:rFonts w:cs="Calibri"/>
                <w:i/>
              </w:rPr>
            </w:pPr>
            <w:r>
              <w:rPr>
                <w:rFonts w:cs="Calibri"/>
                <w:i/>
              </w:rPr>
              <w:t>TBD in DY2</w:t>
            </w:r>
          </w:p>
        </w:tc>
      </w:tr>
      <w:tr w:rsidR="00DF2BBA">
        <w:trPr>
          <w:trHeight w:val="272"/>
          <w:tblHeader/>
        </w:trPr>
        <w:tc>
          <w:tcPr>
            <w:tcW w:w="3297" w:type="dxa"/>
            <w:shd w:val="clear" w:color="auto" w:fill="000000"/>
          </w:tcPr>
          <w:p w:rsidR="00DF2BBA" w:rsidRDefault="00DF2BBA">
            <w:pPr>
              <w:spacing w:after="0" w:line="240" w:lineRule="auto"/>
              <w:jc w:val="center"/>
              <w:rPr>
                <w:b/>
                <w:color w:val="FFFFFF"/>
                <w:sz w:val="20"/>
                <w:szCs w:val="20"/>
              </w:rPr>
            </w:pPr>
            <w:r>
              <w:rPr>
                <w:b/>
                <w:color w:val="FFFFFF"/>
                <w:sz w:val="20"/>
                <w:szCs w:val="20"/>
              </w:rPr>
              <w:t>Year 2</w:t>
            </w:r>
          </w:p>
          <w:p w:rsidR="00DF2BBA" w:rsidRDefault="00DF2BBA">
            <w:pPr>
              <w:spacing w:after="0" w:line="240" w:lineRule="auto"/>
              <w:jc w:val="center"/>
              <w:rPr>
                <w:b/>
                <w:color w:val="FFFFFF"/>
                <w:sz w:val="20"/>
                <w:szCs w:val="20"/>
              </w:rPr>
            </w:pPr>
            <w:r>
              <w:rPr>
                <w:b/>
                <w:color w:val="FFFFFF"/>
                <w:sz w:val="20"/>
                <w:szCs w:val="20"/>
              </w:rPr>
              <w:t xml:space="preserve"> (10/1/2012 – 9/30/2013)</w:t>
            </w:r>
          </w:p>
        </w:tc>
        <w:tc>
          <w:tcPr>
            <w:tcW w:w="3297" w:type="dxa"/>
            <w:shd w:val="clear" w:color="auto" w:fill="000000"/>
          </w:tcPr>
          <w:p w:rsidR="00DF2BBA" w:rsidRDefault="00DF2BBA">
            <w:pPr>
              <w:spacing w:after="0" w:line="240" w:lineRule="auto"/>
              <w:jc w:val="center"/>
              <w:rPr>
                <w:b/>
                <w:color w:val="FFFFFF"/>
                <w:sz w:val="20"/>
                <w:szCs w:val="20"/>
              </w:rPr>
            </w:pPr>
            <w:r>
              <w:rPr>
                <w:b/>
                <w:color w:val="FFFFFF"/>
                <w:sz w:val="20"/>
                <w:szCs w:val="20"/>
              </w:rPr>
              <w:t xml:space="preserve">Year 3 </w:t>
            </w:r>
          </w:p>
          <w:p w:rsidR="00DF2BBA" w:rsidRDefault="00DF2BBA">
            <w:pPr>
              <w:spacing w:after="0" w:line="240" w:lineRule="auto"/>
              <w:jc w:val="center"/>
              <w:rPr>
                <w:b/>
                <w:color w:val="FFFFFF"/>
                <w:sz w:val="20"/>
                <w:szCs w:val="20"/>
              </w:rPr>
            </w:pPr>
            <w:r>
              <w:rPr>
                <w:b/>
                <w:color w:val="FFFFFF"/>
                <w:sz w:val="20"/>
                <w:szCs w:val="20"/>
              </w:rPr>
              <w:t>(10/1/2013 – 9/30/2014)</w:t>
            </w:r>
          </w:p>
        </w:tc>
        <w:tc>
          <w:tcPr>
            <w:tcW w:w="3297" w:type="dxa"/>
            <w:shd w:val="clear" w:color="auto" w:fill="000000"/>
          </w:tcPr>
          <w:p w:rsidR="00DF2BBA" w:rsidRDefault="00DF2BBA">
            <w:pPr>
              <w:spacing w:after="0" w:line="240" w:lineRule="auto"/>
              <w:jc w:val="center"/>
              <w:rPr>
                <w:b/>
                <w:color w:val="FFFFFF"/>
                <w:sz w:val="20"/>
                <w:szCs w:val="20"/>
              </w:rPr>
            </w:pPr>
            <w:r>
              <w:rPr>
                <w:b/>
                <w:color w:val="FFFFFF"/>
                <w:sz w:val="20"/>
                <w:szCs w:val="20"/>
              </w:rPr>
              <w:t>Year 4</w:t>
            </w:r>
          </w:p>
          <w:p w:rsidR="00DF2BBA" w:rsidRDefault="00DF2BBA">
            <w:pPr>
              <w:spacing w:after="0" w:line="240" w:lineRule="auto"/>
              <w:jc w:val="center"/>
              <w:rPr>
                <w:b/>
                <w:color w:val="FFFFFF"/>
                <w:sz w:val="20"/>
                <w:szCs w:val="20"/>
              </w:rPr>
            </w:pPr>
            <w:r>
              <w:rPr>
                <w:b/>
                <w:color w:val="FFFFFF"/>
                <w:sz w:val="20"/>
                <w:szCs w:val="20"/>
              </w:rPr>
              <w:t>(10/1/2014 – 9/30/2015)</w:t>
            </w:r>
          </w:p>
        </w:tc>
        <w:tc>
          <w:tcPr>
            <w:tcW w:w="3297" w:type="dxa"/>
            <w:shd w:val="clear" w:color="auto" w:fill="000000"/>
          </w:tcPr>
          <w:p w:rsidR="00DF2BBA" w:rsidRDefault="00DF2BBA">
            <w:pPr>
              <w:spacing w:after="0" w:line="240" w:lineRule="auto"/>
              <w:jc w:val="center"/>
              <w:rPr>
                <w:b/>
                <w:color w:val="FFFFFF"/>
                <w:sz w:val="20"/>
                <w:szCs w:val="20"/>
              </w:rPr>
            </w:pPr>
            <w:r>
              <w:rPr>
                <w:b/>
                <w:color w:val="FFFFFF"/>
                <w:sz w:val="20"/>
                <w:szCs w:val="20"/>
              </w:rPr>
              <w:t>Year 5</w:t>
            </w:r>
          </w:p>
          <w:p w:rsidR="00DF2BBA" w:rsidRDefault="00DF2BBA">
            <w:pPr>
              <w:spacing w:after="0" w:line="240" w:lineRule="auto"/>
              <w:jc w:val="center"/>
              <w:rPr>
                <w:b/>
                <w:color w:val="FFFFFF"/>
                <w:sz w:val="20"/>
                <w:szCs w:val="20"/>
              </w:rPr>
            </w:pPr>
            <w:r>
              <w:rPr>
                <w:b/>
                <w:color w:val="FFFFFF"/>
                <w:sz w:val="20"/>
                <w:szCs w:val="20"/>
              </w:rPr>
              <w:t>(10/1/2015 – 9/30/2016)</w:t>
            </w:r>
          </w:p>
        </w:tc>
      </w:tr>
      <w:tr w:rsidR="00DF2BBA">
        <w:trPr>
          <w:trHeight w:val="3635"/>
        </w:trPr>
        <w:tc>
          <w:tcPr>
            <w:tcW w:w="3297" w:type="dxa"/>
          </w:tcPr>
          <w:p w:rsidR="00DF2BBA" w:rsidRDefault="00DF2BBA">
            <w:pPr>
              <w:spacing w:after="0" w:line="240" w:lineRule="auto"/>
              <w:rPr>
                <w:rFonts w:cs="Calibri"/>
                <w:sz w:val="20"/>
                <w:szCs w:val="20"/>
              </w:rPr>
            </w:pPr>
            <w:r>
              <w:rPr>
                <w:rFonts w:cs="Calibri"/>
                <w:b/>
                <w:sz w:val="20"/>
                <w:szCs w:val="20"/>
              </w:rPr>
              <w:t>Process Milestone 1</w:t>
            </w:r>
            <w:r>
              <w:rPr>
                <w:rFonts w:cs="Calibri"/>
                <w:sz w:val="20"/>
                <w:szCs w:val="20"/>
              </w:rPr>
              <w:t xml:space="preserve"> [P-1]: Project planning—engage stakeholders, identify current capacity and needed resources, determine timelines, and document implementation plans.</w:t>
            </w:r>
          </w:p>
          <w:p w:rsidR="00DF2BBA" w:rsidRDefault="00DF2BBA">
            <w:pPr>
              <w:spacing w:after="0" w:line="240" w:lineRule="auto"/>
              <w:ind w:left="240"/>
              <w:rPr>
                <w:rFonts w:cs="Calibri"/>
                <w:sz w:val="20"/>
                <w:szCs w:val="20"/>
              </w:rPr>
            </w:pPr>
            <w:r>
              <w:rPr>
                <w:rFonts w:cs="Calibri"/>
                <w:sz w:val="20"/>
                <w:szCs w:val="20"/>
              </w:rPr>
              <w:t>Data Source: Documentation of project planning.</w:t>
            </w:r>
          </w:p>
          <w:p w:rsidR="00DF2BBA" w:rsidRDefault="00DF2BBA">
            <w:pPr>
              <w:spacing w:after="0" w:line="240" w:lineRule="auto"/>
              <w:rPr>
                <w:rFonts w:cs="Calibri"/>
                <w:sz w:val="20"/>
                <w:szCs w:val="20"/>
              </w:rPr>
            </w:pPr>
          </w:p>
          <w:p w:rsidR="00DF2BBA" w:rsidRDefault="00DF2BBA">
            <w:pPr>
              <w:spacing w:after="0" w:line="240" w:lineRule="auto"/>
              <w:rPr>
                <w:rFonts w:cs="Calibri"/>
                <w:sz w:val="20"/>
                <w:szCs w:val="20"/>
              </w:rPr>
            </w:pPr>
            <w:r>
              <w:rPr>
                <w:rFonts w:cs="Calibri"/>
                <w:sz w:val="20"/>
                <w:szCs w:val="20"/>
              </w:rPr>
              <w:t>Process Milestone 1 Estimated Incentive Payment: $1,078,178</w:t>
            </w:r>
          </w:p>
          <w:p w:rsidR="00DF2BBA" w:rsidRDefault="00DF2BBA">
            <w:pPr>
              <w:spacing w:after="0" w:line="240" w:lineRule="auto"/>
              <w:rPr>
                <w:rFonts w:cs="Calibri"/>
                <w:sz w:val="20"/>
                <w:szCs w:val="20"/>
              </w:rPr>
            </w:pPr>
          </w:p>
          <w:p w:rsidR="00DF2BBA" w:rsidRDefault="00DF2BBA">
            <w:pPr>
              <w:spacing w:after="0" w:line="240" w:lineRule="auto"/>
              <w:rPr>
                <w:rFonts w:cs="Calibri"/>
                <w:sz w:val="20"/>
                <w:szCs w:val="20"/>
              </w:rPr>
            </w:pPr>
          </w:p>
        </w:tc>
        <w:tc>
          <w:tcPr>
            <w:tcW w:w="3297" w:type="dxa"/>
          </w:tcPr>
          <w:p w:rsidR="00DF2BBA" w:rsidRDefault="00DF2BBA">
            <w:pPr>
              <w:spacing w:after="0" w:line="240" w:lineRule="auto"/>
              <w:rPr>
                <w:rFonts w:cs="Calibri"/>
                <w:b/>
                <w:sz w:val="20"/>
                <w:szCs w:val="20"/>
              </w:rPr>
            </w:pPr>
            <w:r>
              <w:rPr>
                <w:rFonts w:cs="Calibri"/>
                <w:b/>
                <w:sz w:val="20"/>
                <w:szCs w:val="20"/>
              </w:rPr>
              <w:t>Process Milestone 2</w:t>
            </w:r>
            <w:r>
              <w:rPr>
                <w:rFonts w:cs="Calibri"/>
                <w:sz w:val="20"/>
                <w:szCs w:val="20"/>
              </w:rPr>
              <w:t xml:space="preserve"> [P-2]: Establish baseline rates.</w:t>
            </w:r>
          </w:p>
          <w:p w:rsidR="00DF2BBA" w:rsidRDefault="00DF2BBA">
            <w:pPr>
              <w:spacing w:after="0" w:line="240" w:lineRule="auto"/>
              <w:ind w:left="303"/>
              <w:rPr>
                <w:rFonts w:cs="Calibri"/>
                <w:b/>
                <w:sz w:val="20"/>
                <w:szCs w:val="20"/>
              </w:rPr>
            </w:pPr>
            <w:r>
              <w:rPr>
                <w:rFonts w:cs="Calibri"/>
                <w:sz w:val="20"/>
                <w:szCs w:val="20"/>
              </w:rPr>
              <w:t>Data Source: Patient survey.</w:t>
            </w:r>
          </w:p>
          <w:p w:rsidR="00DF2BBA" w:rsidRDefault="00DF2BBA">
            <w:pPr>
              <w:spacing w:after="0" w:line="240" w:lineRule="auto"/>
              <w:rPr>
                <w:rFonts w:cs="Calibri"/>
                <w:b/>
                <w:sz w:val="20"/>
                <w:szCs w:val="20"/>
              </w:rPr>
            </w:pPr>
          </w:p>
          <w:p w:rsidR="00DF2BBA" w:rsidRDefault="00DF2BBA">
            <w:pPr>
              <w:spacing w:after="0" w:line="240" w:lineRule="auto"/>
              <w:rPr>
                <w:rFonts w:cs="Calibri"/>
                <w:sz w:val="20"/>
                <w:szCs w:val="20"/>
              </w:rPr>
            </w:pPr>
            <w:r>
              <w:rPr>
                <w:rFonts w:cs="Calibri"/>
                <w:sz w:val="20"/>
                <w:szCs w:val="20"/>
              </w:rPr>
              <w:t xml:space="preserve">Process Milestone 2 Estimated Incentive Payment: </w:t>
            </w:r>
            <w:r>
              <w:rPr>
                <w:rFonts w:cs="Calibri"/>
                <w:i/>
                <w:sz w:val="20"/>
                <w:szCs w:val="20"/>
              </w:rPr>
              <w:t xml:space="preserve"> $</w:t>
            </w:r>
            <w:r>
              <w:rPr>
                <w:rFonts w:cs="Calibri"/>
                <w:sz w:val="20"/>
                <w:szCs w:val="20"/>
              </w:rPr>
              <w:t>1,249,749</w:t>
            </w:r>
          </w:p>
          <w:p w:rsidR="00DF2BBA" w:rsidRDefault="00DF2BBA">
            <w:pPr>
              <w:spacing w:after="0" w:line="240" w:lineRule="auto"/>
              <w:rPr>
                <w:rFonts w:cs="Calibri"/>
                <w:sz w:val="20"/>
                <w:szCs w:val="20"/>
                <w:u w:val="single"/>
              </w:rPr>
            </w:pPr>
          </w:p>
        </w:tc>
        <w:tc>
          <w:tcPr>
            <w:tcW w:w="3297" w:type="dxa"/>
          </w:tcPr>
          <w:p w:rsidR="00DF2BBA" w:rsidRDefault="00DF2BBA">
            <w:pPr>
              <w:spacing w:after="0" w:line="240" w:lineRule="auto"/>
              <w:rPr>
                <w:rFonts w:cs="Calibri"/>
                <w:sz w:val="20"/>
                <w:szCs w:val="20"/>
              </w:rPr>
            </w:pPr>
            <w:r>
              <w:rPr>
                <w:rFonts w:cs="Calibri"/>
                <w:b/>
                <w:sz w:val="20"/>
                <w:szCs w:val="20"/>
              </w:rPr>
              <w:t>Outcome Improvement Target 1</w:t>
            </w:r>
            <w:r>
              <w:rPr>
                <w:rFonts w:cs="Calibri"/>
                <w:sz w:val="20"/>
                <w:szCs w:val="20"/>
              </w:rPr>
              <w:t xml:space="preserve"> [IT-6.1]: Percent improvement over baseline of patient satisfaction scores.</w:t>
            </w:r>
          </w:p>
          <w:p w:rsidR="00DF2BBA" w:rsidRDefault="00DF2BBA">
            <w:pPr>
              <w:spacing w:after="0" w:line="240" w:lineRule="auto"/>
              <w:ind w:left="126"/>
              <w:rPr>
                <w:rFonts w:cs="Calibri"/>
                <w:sz w:val="20"/>
                <w:szCs w:val="20"/>
              </w:rPr>
            </w:pPr>
            <w:r>
              <w:rPr>
                <w:rFonts w:cs="Calibri"/>
                <w:sz w:val="20"/>
                <w:szCs w:val="20"/>
              </w:rPr>
              <w:t>Numerator: Percent improvement in targeted patient satisfaction domain.</w:t>
            </w:r>
          </w:p>
          <w:p w:rsidR="00DF2BBA" w:rsidRDefault="00DF2BBA">
            <w:pPr>
              <w:spacing w:after="0" w:line="240" w:lineRule="auto"/>
              <w:ind w:left="126"/>
              <w:rPr>
                <w:rFonts w:cs="Calibri"/>
                <w:sz w:val="20"/>
                <w:szCs w:val="20"/>
              </w:rPr>
            </w:pPr>
            <w:r>
              <w:rPr>
                <w:rFonts w:cs="Calibri"/>
                <w:sz w:val="20"/>
                <w:szCs w:val="20"/>
              </w:rPr>
              <w:t>Denominator: Number of patients who were administered the survey.</w:t>
            </w:r>
          </w:p>
          <w:p w:rsidR="00DF2BBA" w:rsidRDefault="00DF2BBA">
            <w:pPr>
              <w:spacing w:after="0" w:line="240" w:lineRule="auto"/>
              <w:ind w:left="126"/>
              <w:rPr>
                <w:rFonts w:cs="Calibri"/>
                <w:sz w:val="20"/>
                <w:szCs w:val="20"/>
              </w:rPr>
            </w:pPr>
            <w:r>
              <w:rPr>
                <w:rFonts w:cs="Calibri"/>
                <w:sz w:val="20"/>
                <w:szCs w:val="20"/>
              </w:rPr>
              <w:t>Improvement Target: TBD improvement over DY3 in patient rating of whether patient is getting timely care, appointments, and information.</w:t>
            </w:r>
          </w:p>
          <w:p w:rsidR="00DF2BBA" w:rsidRDefault="00DF2BBA">
            <w:pPr>
              <w:spacing w:after="0" w:line="240" w:lineRule="auto"/>
              <w:ind w:left="126"/>
              <w:rPr>
                <w:rFonts w:cs="Calibri"/>
                <w:sz w:val="20"/>
                <w:szCs w:val="20"/>
              </w:rPr>
            </w:pPr>
            <w:r>
              <w:rPr>
                <w:rFonts w:cs="Calibri"/>
                <w:sz w:val="20"/>
                <w:szCs w:val="20"/>
              </w:rPr>
              <w:t>Data Source: Patient survey.</w:t>
            </w:r>
          </w:p>
          <w:p w:rsidR="00DF2BBA" w:rsidRDefault="00DF2BBA">
            <w:pPr>
              <w:spacing w:after="0" w:line="240" w:lineRule="auto"/>
              <w:rPr>
                <w:rFonts w:cs="Calibri"/>
                <w:sz w:val="20"/>
                <w:szCs w:val="20"/>
              </w:rPr>
            </w:pPr>
          </w:p>
          <w:p w:rsidR="00DF2BBA" w:rsidRDefault="00DF2BBA">
            <w:pPr>
              <w:spacing w:after="0" w:line="240" w:lineRule="auto"/>
              <w:rPr>
                <w:rFonts w:cs="Calibri"/>
                <w:sz w:val="20"/>
                <w:szCs w:val="20"/>
              </w:rPr>
            </w:pPr>
            <w:r>
              <w:rPr>
                <w:rFonts w:cs="Calibri"/>
                <w:sz w:val="20"/>
                <w:szCs w:val="20"/>
              </w:rPr>
              <w:t>Outcome Improvement Target 1 Estimated Incentive Payment</w:t>
            </w:r>
            <w:r>
              <w:rPr>
                <w:rFonts w:cs="Calibri"/>
                <w:i/>
                <w:sz w:val="20"/>
                <w:szCs w:val="20"/>
              </w:rPr>
              <w:t xml:space="preserve">:  </w:t>
            </w:r>
            <w:r>
              <w:rPr>
                <w:rFonts w:cs="Calibri"/>
                <w:sz w:val="20"/>
                <w:szCs w:val="20"/>
              </w:rPr>
              <w:t>$2,005,411</w:t>
            </w:r>
          </w:p>
          <w:p w:rsidR="00DF2BBA" w:rsidRDefault="00DF2BBA">
            <w:pPr>
              <w:spacing w:after="0" w:line="240" w:lineRule="auto"/>
              <w:rPr>
                <w:rFonts w:cs="Calibri"/>
                <w:sz w:val="20"/>
                <w:szCs w:val="20"/>
              </w:rPr>
            </w:pPr>
          </w:p>
        </w:tc>
        <w:tc>
          <w:tcPr>
            <w:tcW w:w="3297" w:type="dxa"/>
          </w:tcPr>
          <w:p w:rsidR="00DF2BBA" w:rsidRDefault="00DF2BBA">
            <w:pPr>
              <w:spacing w:after="0" w:line="240" w:lineRule="auto"/>
              <w:rPr>
                <w:rFonts w:cs="Calibri"/>
                <w:sz w:val="20"/>
                <w:szCs w:val="20"/>
              </w:rPr>
            </w:pPr>
            <w:r>
              <w:rPr>
                <w:rFonts w:cs="Calibri"/>
                <w:b/>
                <w:sz w:val="20"/>
                <w:szCs w:val="20"/>
              </w:rPr>
              <w:t>Outcome Improvement Target 2</w:t>
            </w:r>
            <w:r>
              <w:rPr>
                <w:rFonts w:cs="Calibri"/>
                <w:sz w:val="20"/>
                <w:szCs w:val="20"/>
              </w:rPr>
              <w:t xml:space="preserve"> [IT-6.1]: Percent improvement over baseline of patient satisfaction scores.</w:t>
            </w:r>
          </w:p>
          <w:p w:rsidR="00DF2BBA" w:rsidRDefault="00DF2BBA">
            <w:pPr>
              <w:spacing w:after="0" w:line="240" w:lineRule="auto"/>
              <w:ind w:left="126"/>
              <w:rPr>
                <w:rFonts w:cs="Calibri"/>
                <w:sz w:val="20"/>
                <w:szCs w:val="20"/>
              </w:rPr>
            </w:pPr>
            <w:r>
              <w:rPr>
                <w:rFonts w:cs="Calibri"/>
                <w:sz w:val="20"/>
                <w:szCs w:val="20"/>
              </w:rPr>
              <w:t>Numerator: Percent improvement in targeted patient satisfaction domain.</w:t>
            </w:r>
          </w:p>
          <w:p w:rsidR="00DF2BBA" w:rsidRDefault="00DF2BBA">
            <w:pPr>
              <w:spacing w:after="0" w:line="240" w:lineRule="auto"/>
              <w:ind w:left="126"/>
              <w:rPr>
                <w:rFonts w:cs="Calibri"/>
                <w:sz w:val="20"/>
                <w:szCs w:val="20"/>
              </w:rPr>
            </w:pPr>
            <w:r>
              <w:rPr>
                <w:rFonts w:cs="Calibri"/>
                <w:sz w:val="20"/>
                <w:szCs w:val="20"/>
              </w:rPr>
              <w:t>Denominator: Number of patients who were administered the survey.</w:t>
            </w:r>
          </w:p>
          <w:p w:rsidR="00DF2BBA" w:rsidRDefault="00DF2BBA">
            <w:pPr>
              <w:spacing w:after="0" w:line="240" w:lineRule="auto"/>
              <w:ind w:left="126"/>
              <w:rPr>
                <w:rFonts w:cs="Calibri"/>
                <w:sz w:val="20"/>
                <w:szCs w:val="20"/>
              </w:rPr>
            </w:pPr>
            <w:r>
              <w:rPr>
                <w:rFonts w:cs="Calibri"/>
                <w:sz w:val="20"/>
                <w:szCs w:val="20"/>
              </w:rPr>
              <w:t>Improvement Target: TBD improvement over DY4 in patient rating of whether patient is getting timely care, appointments, and information.</w:t>
            </w:r>
          </w:p>
          <w:p w:rsidR="00DF2BBA" w:rsidRDefault="00DF2BBA">
            <w:pPr>
              <w:spacing w:after="0" w:line="240" w:lineRule="auto"/>
              <w:ind w:left="126"/>
              <w:rPr>
                <w:rFonts w:cs="Calibri"/>
                <w:sz w:val="20"/>
                <w:szCs w:val="20"/>
              </w:rPr>
            </w:pPr>
            <w:r>
              <w:rPr>
                <w:rFonts w:cs="Calibri"/>
                <w:sz w:val="20"/>
                <w:szCs w:val="20"/>
              </w:rPr>
              <w:t>Data Source: Patient survey.</w:t>
            </w:r>
          </w:p>
          <w:p w:rsidR="00DF2BBA" w:rsidRDefault="00DF2BBA">
            <w:pPr>
              <w:spacing w:after="0" w:line="240" w:lineRule="auto"/>
              <w:rPr>
                <w:rFonts w:cs="Calibri"/>
                <w:sz w:val="20"/>
                <w:szCs w:val="20"/>
              </w:rPr>
            </w:pPr>
          </w:p>
          <w:p w:rsidR="00DF2BBA" w:rsidRDefault="00DF2BBA">
            <w:pPr>
              <w:spacing w:after="0" w:line="240" w:lineRule="auto"/>
              <w:rPr>
                <w:rFonts w:cs="Calibri"/>
                <w:sz w:val="20"/>
                <w:szCs w:val="20"/>
              </w:rPr>
            </w:pPr>
            <w:r>
              <w:rPr>
                <w:rFonts w:cs="Calibri"/>
                <w:sz w:val="20"/>
                <w:szCs w:val="20"/>
              </w:rPr>
              <w:t>Outcome Improvement Target 2 Estimated Incentive Payment</w:t>
            </w:r>
            <w:r>
              <w:rPr>
                <w:rFonts w:cs="Calibri"/>
                <w:i/>
                <w:sz w:val="20"/>
                <w:szCs w:val="20"/>
              </w:rPr>
              <w:t xml:space="preserve">:  </w:t>
            </w:r>
            <w:r>
              <w:rPr>
                <w:rFonts w:cs="Calibri"/>
                <w:sz w:val="20"/>
                <w:szCs w:val="20"/>
              </w:rPr>
              <w:t>$4,795,548</w:t>
            </w:r>
          </w:p>
          <w:p w:rsidR="00DF2BBA" w:rsidRDefault="00DF2BBA">
            <w:pPr>
              <w:spacing w:after="0" w:line="240" w:lineRule="auto"/>
              <w:rPr>
                <w:rFonts w:cs="Calibri"/>
                <w:sz w:val="20"/>
                <w:szCs w:val="20"/>
              </w:rPr>
            </w:pPr>
            <w:bookmarkStart w:id="0" w:name="_GoBack"/>
            <w:bookmarkEnd w:id="0"/>
          </w:p>
        </w:tc>
      </w:tr>
      <w:tr w:rsidR="00DF2BBA">
        <w:trPr>
          <w:trHeight w:val="557"/>
        </w:trPr>
        <w:tc>
          <w:tcPr>
            <w:tcW w:w="3297" w:type="dxa"/>
          </w:tcPr>
          <w:p w:rsidR="00DF2BBA" w:rsidRDefault="00DF2BBA">
            <w:pPr>
              <w:spacing w:after="0" w:line="240" w:lineRule="auto"/>
              <w:rPr>
                <w:rFonts w:cs="Calibri"/>
                <w:sz w:val="20"/>
                <w:szCs w:val="20"/>
              </w:rPr>
            </w:pPr>
            <w:r>
              <w:rPr>
                <w:rFonts w:cs="Calibri"/>
                <w:sz w:val="20"/>
                <w:szCs w:val="20"/>
              </w:rPr>
              <w:t>Year 2 Estimated Outcome Amount: $1,078,178</w:t>
            </w:r>
          </w:p>
        </w:tc>
        <w:tc>
          <w:tcPr>
            <w:tcW w:w="3297" w:type="dxa"/>
          </w:tcPr>
          <w:p w:rsidR="00DF2BBA" w:rsidRDefault="00DF2BBA">
            <w:pPr>
              <w:spacing w:after="0" w:line="240" w:lineRule="auto"/>
              <w:rPr>
                <w:rFonts w:cs="Calibri"/>
                <w:sz w:val="20"/>
                <w:szCs w:val="20"/>
              </w:rPr>
            </w:pPr>
            <w:r>
              <w:rPr>
                <w:rFonts w:cs="Calibri"/>
                <w:sz w:val="20"/>
                <w:szCs w:val="20"/>
              </w:rPr>
              <w:t xml:space="preserve">Year 3 Estimated Outcome Amount:  </w:t>
            </w:r>
            <w:r>
              <w:rPr>
                <w:rFonts w:cs="Calibri"/>
                <w:i/>
                <w:sz w:val="20"/>
                <w:szCs w:val="20"/>
              </w:rPr>
              <w:t>$</w:t>
            </w:r>
            <w:r>
              <w:rPr>
                <w:rFonts w:cs="Calibri"/>
                <w:sz w:val="20"/>
                <w:szCs w:val="20"/>
              </w:rPr>
              <w:t>1,249,749</w:t>
            </w:r>
          </w:p>
        </w:tc>
        <w:tc>
          <w:tcPr>
            <w:tcW w:w="3297" w:type="dxa"/>
          </w:tcPr>
          <w:p w:rsidR="00DF2BBA" w:rsidRDefault="00DF2BBA">
            <w:pPr>
              <w:spacing w:after="0" w:line="240" w:lineRule="auto"/>
              <w:rPr>
                <w:rFonts w:cs="Calibri"/>
                <w:sz w:val="20"/>
                <w:szCs w:val="20"/>
              </w:rPr>
            </w:pPr>
            <w:r>
              <w:rPr>
                <w:rFonts w:cs="Calibri"/>
                <w:sz w:val="20"/>
                <w:szCs w:val="20"/>
              </w:rPr>
              <w:t>Year 4 Estimated Outcome Amount: $2,005,411</w:t>
            </w:r>
          </w:p>
        </w:tc>
        <w:tc>
          <w:tcPr>
            <w:tcW w:w="3297" w:type="dxa"/>
          </w:tcPr>
          <w:p w:rsidR="00DF2BBA" w:rsidRDefault="00DF2BBA">
            <w:pPr>
              <w:spacing w:after="0" w:line="240" w:lineRule="auto"/>
              <w:rPr>
                <w:rFonts w:cs="Calibri"/>
                <w:sz w:val="20"/>
                <w:szCs w:val="20"/>
              </w:rPr>
            </w:pPr>
            <w:r>
              <w:rPr>
                <w:rFonts w:cs="Calibri"/>
                <w:sz w:val="20"/>
                <w:szCs w:val="20"/>
              </w:rPr>
              <w:t>Year 5 Estimated Outcome Amount:  $4,795,548</w:t>
            </w:r>
          </w:p>
        </w:tc>
      </w:tr>
      <w:tr w:rsidR="00DF2BBA">
        <w:trPr>
          <w:trHeight w:val="377"/>
        </w:trPr>
        <w:tc>
          <w:tcPr>
            <w:tcW w:w="13188" w:type="dxa"/>
            <w:gridSpan w:val="4"/>
          </w:tcPr>
          <w:p w:rsidR="00DF2BBA" w:rsidRDefault="00DF2BBA">
            <w:pPr>
              <w:spacing w:after="0" w:line="240" w:lineRule="auto"/>
              <w:rPr>
                <w:rFonts w:cs="Calibri"/>
              </w:rPr>
            </w:pPr>
            <w:r>
              <w:rPr>
                <w:rFonts w:cs="Calibri"/>
                <w:b/>
              </w:rPr>
              <w:t>TOTAL ESTIMATED INCENTIVE PAYMENTS FOR 4-YEAR PERIOD:</w:t>
            </w:r>
            <w:r>
              <w:rPr>
                <w:rFonts w:cs="Calibri"/>
              </w:rPr>
              <w:t xml:space="preserve"> $9,128,886</w:t>
            </w:r>
          </w:p>
        </w:tc>
      </w:tr>
    </w:tbl>
    <w:p w:rsidR="00DF2BBA" w:rsidRDefault="00DF2BBA">
      <w:pPr>
        <w:spacing w:after="0" w:line="240" w:lineRule="auto"/>
        <w:rPr>
          <w:rFonts w:ascii="Times New Roman" w:hAnsi="Times New Roman"/>
          <w:b/>
          <w:sz w:val="16"/>
          <w:szCs w:val="16"/>
        </w:rPr>
      </w:pPr>
    </w:p>
    <w:p w:rsidR="00DF2BBA" w:rsidRDefault="00DF2BBA">
      <w:pPr>
        <w:spacing w:after="0" w:line="240" w:lineRule="auto"/>
        <w:rPr>
          <w:rFonts w:ascii="Times New Roman" w:hAnsi="Times New Roman"/>
          <w:sz w:val="24"/>
          <w:szCs w:val="24"/>
        </w:rPr>
      </w:pPr>
    </w:p>
    <w:p w:rsidR="00DF2BBA" w:rsidRDefault="00DF2BBA">
      <w:r>
        <w:t>95021</w:t>
      </w:r>
    </w:p>
    <w:sectPr w:rsidR="00DF2BBA" w:rsidSect="00422F69">
      <w:footerReference w:type="even" r:id="rId13"/>
      <w:footerReference w:type="default" r:id="rId14"/>
      <w:foot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BBA" w:rsidRDefault="00DF2BBA">
      <w:pPr>
        <w:spacing w:after="0" w:line="240" w:lineRule="auto"/>
      </w:pPr>
      <w:r>
        <w:separator/>
      </w:r>
    </w:p>
  </w:endnote>
  <w:endnote w:type="continuationSeparator" w:id="0">
    <w:p w:rsidR="00DF2BBA" w:rsidRDefault="00DF2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BBA" w:rsidRDefault="00DF2B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F2BBA" w:rsidRDefault="00DF2BBA">
    <w:pPr>
      <w:pStyle w:val="Footer"/>
      <w:ind w:right="360"/>
      <w:rPr>
        <w:rFonts w:ascii="Cambria" w:hAnsi="Cambr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Footer"/>
      <w:framePr w:wrap="around" w:vAnchor="text" w:hAnchor="margin" w:xAlign="right" w:y="1"/>
      <w:rPr>
        <w:rStyle w:val="PageNumber"/>
        <w:rFonts w:ascii="Calibri" w:hAnsi="Calibri"/>
      </w:rPr>
    </w:pPr>
    <w:r>
      <w:rPr>
        <w:rStyle w:val="PageNumber"/>
        <w:rFonts w:ascii="Calibri" w:hAnsi="Calibri"/>
      </w:rPr>
      <w:fldChar w:fldCharType="begin"/>
    </w:r>
    <w:r>
      <w:rPr>
        <w:rStyle w:val="PageNumber"/>
        <w:rFonts w:ascii="Calibri" w:hAnsi="Calibri"/>
      </w:rPr>
      <w:instrText xml:space="preserve">PAGE  </w:instrText>
    </w:r>
    <w:r>
      <w:rPr>
        <w:rStyle w:val="PageNumber"/>
        <w:rFonts w:ascii="Calibri" w:hAnsi="Calibri"/>
      </w:rPr>
      <w:fldChar w:fldCharType="separate"/>
    </w:r>
    <w:r>
      <w:rPr>
        <w:rStyle w:val="PageNumber"/>
        <w:rFonts w:ascii="Calibri" w:hAnsi="Calibri"/>
        <w:noProof/>
      </w:rPr>
      <w:t>4</w:t>
    </w:r>
    <w:r>
      <w:rPr>
        <w:rStyle w:val="PageNumber"/>
        <w:rFonts w:ascii="Calibri" w:hAnsi="Calibri"/>
      </w:rPr>
      <w:fldChar w:fldCharType="end"/>
    </w:r>
  </w:p>
  <w:p w:rsidR="00DF2BBA" w:rsidRDefault="00DF2BB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2BBA" w:rsidRDefault="00DF2BB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F2BBA" w:rsidRDefault="00DF2BBA">
    <w:pPr>
      <w:pStyle w:val="Footer"/>
      <w:ind w:right="360"/>
      <w:rPr>
        <w:rFonts w:ascii="Cambria" w:hAnsi="Cambria"/>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Footer"/>
      <w:framePr w:wrap="around" w:vAnchor="text" w:hAnchor="margin" w:xAlign="right" w:y="1"/>
      <w:rPr>
        <w:rStyle w:val="PageNumber"/>
        <w:rFonts w:ascii="Calibri" w:hAnsi="Calibri"/>
      </w:rPr>
    </w:pPr>
    <w:r>
      <w:rPr>
        <w:rStyle w:val="PageNumber"/>
        <w:rFonts w:ascii="Calibri" w:hAnsi="Calibri"/>
      </w:rPr>
      <w:fldChar w:fldCharType="begin"/>
    </w:r>
    <w:r>
      <w:rPr>
        <w:rStyle w:val="PageNumber"/>
        <w:rFonts w:ascii="Calibri" w:hAnsi="Calibri"/>
      </w:rPr>
      <w:instrText xml:space="preserve">PAGE  </w:instrText>
    </w:r>
    <w:r>
      <w:rPr>
        <w:rStyle w:val="PageNumber"/>
        <w:rFonts w:ascii="Calibri" w:hAnsi="Calibri"/>
      </w:rPr>
      <w:fldChar w:fldCharType="separate"/>
    </w:r>
    <w:r>
      <w:rPr>
        <w:rStyle w:val="PageNumber"/>
        <w:rFonts w:ascii="Calibri" w:hAnsi="Calibri"/>
        <w:noProof/>
      </w:rPr>
      <w:t>4</w:t>
    </w:r>
    <w:r>
      <w:rPr>
        <w:rStyle w:val="PageNumber"/>
        <w:rFonts w:ascii="Calibri" w:hAnsi="Calibri"/>
      </w:rPr>
      <w:fldChar w:fldCharType="end"/>
    </w:r>
  </w:p>
  <w:p w:rsidR="00DF2BBA" w:rsidRDefault="00DF2B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BBA" w:rsidRDefault="00DF2BBA">
      <w:pPr>
        <w:spacing w:after="0" w:line="240" w:lineRule="auto"/>
      </w:pPr>
      <w:r>
        <w:separator/>
      </w:r>
    </w:p>
  </w:footnote>
  <w:footnote w:type="continuationSeparator" w:id="0">
    <w:p w:rsidR="00DF2BBA" w:rsidRDefault="00DF2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BA" w:rsidRDefault="00DF2B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27078"/>
    <w:multiLevelType w:val="hybridMultilevel"/>
    <w:tmpl w:val="D17E4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8D1E57EE">
      <w:start w:val="1"/>
      <w:numFmt w:val="decimal"/>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4044E"/>
    <w:multiLevelType w:val="hybridMultilevel"/>
    <w:tmpl w:val="B5028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34A74"/>
    <w:multiLevelType w:val="hybridMultilevel"/>
    <w:tmpl w:val="0E56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B35BC"/>
    <w:multiLevelType w:val="hybridMultilevel"/>
    <w:tmpl w:val="3D66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3F24CB"/>
    <w:multiLevelType w:val="hybridMultilevel"/>
    <w:tmpl w:val="A558CC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1E4F"/>
    <w:rsid w:val="001750B1"/>
    <w:rsid w:val="001F3CD1"/>
    <w:rsid w:val="00202F86"/>
    <w:rsid w:val="00221E4F"/>
    <w:rsid w:val="00422F69"/>
    <w:rsid w:val="00664D2F"/>
    <w:rsid w:val="0067518B"/>
    <w:rsid w:val="006764FE"/>
    <w:rsid w:val="006A10DF"/>
    <w:rsid w:val="008D6EA9"/>
    <w:rsid w:val="00976455"/>
    <w:rsid w:val="00A1700F"/>
    <w:rsid w:val="00A8242C"/>
    <w:rsid w:val="00AD0AD7"/>
    <w:rsid w:val="00B7430A"/>
    <w:rsid w:val="00BE5A06"/>
    <w:rsid w:val="00C3797D"/>
    <w:rsid w:val="00DF2BBA"/>
    <w:rsid w:val="00EA6E34"/>
    <w:rsid w:val="00F733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350"/>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3350"/>
    <w:pPr>
      <w:ind w:left="720"/>
      <w:contextualSpacing/>
    </w:pPr>
  </w:style>
  <w:style w:type="paragraph" w:styleId="Footer">
    <w:name w:val="footer"/>
    <w:basedOn w:val="Normal"/>
    <w:link w:val="FooterChar"/>
    <w:uiPriority w:val="99"/>
    <w:rsid w:val="00F73350"/>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F73350"/>
    <w:rPr>
      <w:rFonts w:ascii="Times New Roman" w:hAnsi="Times New Roman" w:cs="Times New Roman"/>
      <w:sz w:val="24"/>
      <w:szCs w:val="24"/>
    </w:rPr>
  </w:style>
  <w:style w:type="character" w:styleId="PageNumber">
    <w:name w:val="page number"/>
    <w:basedOn w:val="DefaultParagraphFont"/>
    <w:uiPriority w:val="99"/>
    <w:rsid w:val="00F73350"/>
    <w:rPr>
      <w:rFonts w:cs="Times New Roman"/>
    </w:rPr>
  </w:style>
  <w:style w:type="paragraph" w:styleId="Header">
    <w:name w:val="header"/>
    <w:basedOn w:val="Normal"/>
    <w:link w:val="HeaderChar"/>
    <w:uiPriority w:val="99"/>
    <w:rsid w:val="00F7335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73350"/>
    <w:rPr>
      <w:rFonts w:ascii="Calibri" w:hAnsi="Calibri" w:cs="Times New Roman"/>
    </w:rPr>
  </w:style>
  <w:style w:type="paragraph" w:styleId="BalloonText">
    <w:name w:val="Balloon Text"/>
    <w:basedOn w:val="Normal"/>
    <w:link w:val="BalloonTextChar"/>
    <w:uiPriority w:val="99"/>
    <w:semiHidden/>
    <w:rsid w:val="00F73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3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1757942">
      <w:marLeft w:val="0"/>
      <w:marRight w:val="0"/>
      <w:marTop w:val="0"/>
      <w:marBottom w:val="0"/>
      <w:divBdr>
        <w:top w:val="none" w:sz="0" w:space="0" w:color="auto"/>
        <w:left w:val="none" w:sz="0" w:space="0" w:color="auto"/>
        <w:bottom w:val="none" w:sz="0" w:space="0" w:color="auto"/>
        <w:right w:val="none" w:sz="0" w:space="0" w:color="auto"/>
      </w:divBdr>
    </w:div>
    <w:div w:id="1781757943">
      <w:marLeft w:val="0"/>
      <w:marRight w:val="0"/>
      <w:marTop w:val="0"/>
      <w:marBottom w:val="0"/>
      <w:divBdr>
        <w:top w:val="none" w:sz="0" w:space="0" w:color="auto"/>
        <w:left w:val="none" w:sz="0" w:space="0" w:color="auto"/>
        <w:bottom w:val="none" w:sz="0" w:space="0" w:color="auto"/>
        <w:right w:val="none" w:sz="0" w:space="0" w:color="auto"/>
      </w:divBdr>
    </w:div>
    <w:div w:id="1781757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925</Words>
  <Characters>5279</Characters>
  <Application>Microsoft Office Outlook</Application>
  <DocSecurity>0</DocSecurity>
  <Lines>0</Lines>
  <Paragraphs>0</Paragraphs>
  <ScaleCrop>false</ScaleCrop>
  <Company>Gjerset &amp; Lorenz,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Paso) UMC DSRIP Category 3 - IT 6.1 Patient Satisfaction (00095021).DOCX</dc:title>
  <dc:subject/>
  <dc:creator>Frances Hansen</dc:creator>
  <cp:keywords/>
  <dc:description/>
  <cp:lastModifiedBy>Thomason</cp:lastModifiedBy>
  <cp:revision>2</cp:revision>
  <cp:lastPrinted>2012-10-25T15:29:00Z</cp:lastPrinted>
  <dcterms:created xsi:type="dcterms:W3CDTF">2012-11-05T18:05:00Z</dcterms:created>
  <dcterms:modified xsi:type="dcterms:W3CDTF">2012-11-05T18:05:00Z</dcterms:modified>
</cp:coreProperties>
</file>