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7A0" w:rsidRDefault="00BA27A0">
      <w:pPr>
        <w:spacing w:after="0" w:line="276" w:lineRule="auto"/>
        <w:rPr>
          <w:rFonts w:ascii="Calibri" w:hAnsi="Calibri" w:cs="Calibri"/>
          <w:b/>
          <w:caps/>
          <w:sz w:val="22"/>
        </w:rPr>
      </w:pPr>
      <w:r>
        <w:rPr>
          <w:rFonts w:ascii="Calibri" w:hAnsi="Calibri" w:cs="Calibri"/>
          <w:sz w:val="22"/>
        </w:rPr>
        <w:t xml:space="preserve">Project Option 2.11.2.A Evidence-based interventions that put in place the teams, technology, and processes to avoid medication errors—Implement a medication management program that serves the patient across the continuum of care targeting one or more chronic disease patient populations: </w:t>
      </w:r>
      <w:r>
        <w:rPr>
          <w:rFonts w:ascii="Calibri" w:hAnsi="Calibri" w:cs="Calibri"/>
          <w:b/>
          <w:caps/>
          <w:sz w:val="22"/>
        </w:rPr>
        <w:t>CONDUCT MEDICATION MANAGEMENT—ESTABLISH A COUMADIN CLINIC AT UMC NEIGHBORHOOD HEALTH CENTERS</w:t>
      </w:r>
    </w:p>
    <w:p w:rsidR="00BA27A0" w:rsidRDefault="00BA27A0">
      <w:pPr>
        <w:spacing w:after="0" w:line="276" w:lineRule="auto"/>
        <w:rPr>
          <w:rFonts w:ascii="Calibri" w:hAnsi="Calibri" w:cs="Calibri"/>
          <w:b/>
          <w:caps/>
          <w:sz w:val="22"/>
        </w:rPr>
      </w:pPr>
    </w:p>
    <w:p w:rsidR="00BA27A0" w:rsidRDefault="00BA27A0">
      <w:pPr>
        <w:spacing w:after="200" w:line="276" w:lineRule="auto"/>
        <w:rPr>
          <w:rFonts w:ascii="Calibri" w:hAnsi="Calibri" w:cs="Calibri"/>
          <w:b/>
          <w:sz w:val="22"/>
          <w:u w:val="single"/>
        </w:rPr>
      </w:pPr>
      <w:r>
        <w:rPr>
          <w:rFonts w:ascii="Calibri" w:hAnsi="Calibri" w:cs="Calibri"/>
          <w:b/>
          <w:sz w:val="22"/>
          <w:u w:val="single"/>
        </w:rPr>
        <w:t>Unique Project ID</w:t>
      </w:r>
      <w:r>
        <w:rPr>
          <w:rFonts w:ascii="Calibri" w:hAnsi="Calibri" w:cs="Calibri"/>
          <w:b/>
          <w:sz w:val="22"/>
        </w:rPr>
        <w:t xml:space="preserve">:  </w:t>
      </w:r>
      <w:r>
        <w:rPr>
          <w:rFonts w:ascii="Calibri" w:hAnsi="Calibri" w:cs="Calibri"/>
          <w:sz w:val="22"/>
        </w:rPr>
        <w:t>138951211.2.6</w:t>
      </w:r>
    </w:p>
    <w:p w:rsidR="00BA27A0" w:rsidRDefault="00BA27A0">
      <w:pPr>
        <w:spacing w:after="200" w:line="276" w:lineRule="auto"/>
        <w:rPr>
          <w:rFonts w:ascii="Calibri" w:hAnsi="Calibri" w:cs="Calibri"/>
          <w:b/>
          <w:sz w:val="22"/>
        </w:rPr>
      </w:pPr>
      <w:r>
        <w:rPr>
          <w:rFonts w:ascii="Calibri" w:hAnsi="Calibri" w:cs="Calibri"/>
          <w:b/>
          <w:sz w:val="22"/>
          <w:u w:val="single"/>
        </w:rPr>
        <w:t>Performing Provider Name/TPI</w:t>
      </w:r>
      <w:r>
        <w:rPr>
          <w:rFonts w:ascii="Calibri" w:hAnsi="Calibri" w:cs="Calibri"/>
          <w:b/>
          <w:sz w:val="22"/>
        </w:rPr>
        <w:t xml:space="preserve">: </w:t>
      </w:r>
      <w:r>
        <w:rPr>
          <w:rFonts w:ascii="Calibri" w:hAnsi="Calibri" w:cs="Calibri"/>
          <w:sz w:val="22"/>
        </w:rPr>
        <w:t xml:space="preserve">The </w:t>
      </w:r>
      <w:smartTag w:uri="urn:schemas-microsoft-com:office:smarttags" w:element="City">
        <w:r>
          <w:rPr>
            <w:rFonts w:ascii="Calibri" w:hAnsi="Calibri" w:cs="Calibri"/>
            <w:sz w:val="22"/>
          </w:rPr>
          <w:t>El Paso</w:t>
        </w:r>
      </w:smartTag>
      <w:r>
        <w:rPr>
          <w:rFonts w:ascii="Calibri" w:hAnsi="Calibri" w:cs="Calibri"/>
          <w:sz w:val="22"/>
        </w:rPr>
        <w:t xml:space="preserve"> County Hospital District d/b/a </w:t>
      </w:r>
      <w:smartTag w:uri="urn:schemas-microsoft-com:office:smarttags" w:element="PlaceType">
        <w:r>
          <w:rPr>
            <w:rFonts w:ascii="Calibri" w:hAnsi="Calibri" w:cs="Calibri"/>
            <w:sz w:val="22"/>
          </w:rPr>
          <w:t>University</w:t>
        </w:r>
      </w:smartTag>
      <w:r>
        <w:rPr>
          <w:rFonts w:ascii="Calibri" w:hAnsi="Calibri" w:cs="Calibri"/>
          <w:sz w:val="22"/>
        </w:rPr>
        <w:t xml:space="preserve"> </w:t>
      </w:r>
      <w:smartTag w:uri="urn:schemas-microsoft-com:office:smarttags" w:element="PlaceName">
        <w:r>
          <w:rPr>
            <w:rFonts w:ascii="Calibri" w:hAnsi="Calibri" w:cs="Calibri"/>
            <w:sz w:val="22"/>
          </w:rPr>
          <w:t>Medical</w:t>
        </w:r>
      </w:smartTag>
      <w:r>
        <w:rPr>
          <w:rFonts w:ascii="Calibri" w:hAnsi="Calibri" w:cs="Calibri"/>
          <w:sz w:val="22"/>
        </w:rPr>
        <w:t xml:space="preserve"> </w:t>
      </w:r>
      <w:smartTag w:uri="urn:schemas-microsoft-com:office:smarttags" w:element="PlaceType">
        <w:r>
          <w:rPr>
            <w:rFonts w:ascii="Calibri" w:hAnsi="Calibri" w:cs="Calibri"/>
            <w:sz w:val="22"/>
          </w:rPr>
          <w:t>Center</w:t>
        </w:r>
      </w:smartTag>
      <w:r>
        <w:rPr>
          <w:rFonts w:ascii="Calibri" w:hAnsi="Calibri" w:cs="Calibri"/>
          <w:sz w:val="22"/>
        </w:rPr>
        <w:t xml:space="preserve"> of </w:t>
      </w:r>
      <w:smartTag w:uri="urn:schemas-microsoft-com:office:smarttags" w:element="City">
        <w:smartTag w:uri="urn:schemas-microsoft-com:office:smarttags" w:element="place">
          <w:r>
            <w:rPr>
              <w:rFonts w:ascii="Calibri" w:hAnsi="Calibri" w:cs="Calibri"/>
              <w:sz w:val="22"/>
            </w:rPr>
            <w:t>El Paso</w:t>
          </w:r>
        </w:smartTag>
      </w:smartTag>
      <w:r>
        <w:rPr>
          <w:rFonts w:ascii="Calibri" w:hAnsi="Calibri" w:cs="Calibri"/>
          <w:sz w:val="22"/>
        </w:rPr>
        <w:t xml:space="preserve"> (UMC) / TPI: 138951211</w:t>
      </w:r>
    </w:p>
    <w:p w:rsidR="00BA27A0" w:rsidRDefault="00BA27A0">
      <w:pPr>
        <w:spacing w:after="200" w:line="276" w:lineRule="auto"/>
        <w:rPr>
          <w:rFonts w:ascii="Calibri" w:hAnsi="Calibri" w:cs="Calibri"/>
          <w:b/>
          <w:sz w:val="22"/>
          <w:u w:val="single"/>
        </w:rPr>
      </w:pPr>
      <w:r>
        <w:rPr>
          <w:rFonts w:ascii="Calibri" w:hAnsi="Calibri" w:cs="Calibri"/>
          <w:b/>
          <w:sz w:val="22"/>
          <w:u w:val="single"/>
        </w:rPr>
        <w:t>Project Description</w:t>
      </w:r>
      <w:r>
        <w:rPr>
          <w:rFonts w:ascii="Calibri" w:hAnsi="Calibri" w:cs="Calibri"/>
          <w:b/>
          <w:sz w:val="22"/>
        </w:rPr>
        <w:t>:</w:t>
      </w:r>
    </w:p>
    <w:p w:rsidR="00BA27A0" w:rsidRDefault="00BA27A0">
      <w:pPr>
        <w:spacing w:after="120" w:line="276" w:lineRule="auto"/>
        <w:rPr>
          <w:rFonts w:ascii="Calibri" w:hAnsi="Calibri" w:cs="Calibri"/>
          <w:b/>
          <w:i/>
          <w:sz w:val="22"/>
        </w:rPr>
      </w:pPr>
      <w:r>
        <w:rPr>
          <w:rFonts w:ascii="Calibri" w:hAnsi="Calibri" w:cs="Calibri"/>
          <w:b/>
          <w:i/>
          <w:sz w:val="22"/>
        </w:rPr>
        <w:t>This project will establish a Coumadin Clinic at UMC’s neighborhood health centers (NHCs).</w:t>
      </w:r>
    </w:p>
    <w:p w:rsidR="00BA27A0" w:rsidRDefault="00BA27A0">
      <w:pPr>
        <w:spacing w:after="120" w:line="276" w:lineRule="auto"/>
        <w:rPr>
          <w:rFonts w:ascii="Calibri" w:hAnsi="Calibri" w:cs="Calibri"/>
          <w:sz w:val="22"/>
        </w:rPr>
      </w:pPr>
      <w:r>
        <w:rPr>
          <w:rFonts w:ascii="Calibri" w:hAnsi="Calibri" w:cs="Calibri"/>
          <w:sz w:val="22"/>
        </w:rPr>
        <w:t>Under this project, UMC will establish a Coumadin Clinic at UMC’s neighborhood health centers (NHCs). Services to be provided by this Coumadin Clinic will include: establishment of a medical home,</w:t>
      </w:r>
      <w:r>
        <w:t xml:space="preserve"> </w:t>
      </w:r>
      <w:r>
        <w:rPr>
          <w:rFonts w:ascii="Calibri" w:hAnsi="Calibri" w:cs="Calibri"/>
          <w:sz w:val="22"/>
        </w:rPr>
        <w:t>patient assessment, monitoring of anticoagulation, warfarin dosage adjustment, medication education and management, patient education (including nutrition counseling and self-management), and follow-up care. The clinic will increase patient well-being and satisfaction, and reduce the number of readmissions to treat stroke and coronary artery disease and warfarin-related bleeding.</w:t>
      </w:r>
    </w:p>
    <w:p w:rsidR="00BA27A0" w:rsidRDefault="00BA27A0">
      <w:pPr>
        <w:spacing w:after="120" w:line="276" w:lineRule="auto"/>
        <w:rPr>
          <w:rFonts w:ascii="Calibri" w:hAnsi="Calibri" w:cs="Calibri"/>
          <w:sz w:val="22"/>
        </w:rPr>
      </w:pPr>
      <w:r>
        <w:rPr>
          <w:rFonts w:ascii="Calibri" w:hAnsi="Calibri" w:cs="Calibri"/>
          <w:sz w:val="22"/>
        </w:rPr>
        <w:t>This clinic will help reduce readmissions of patients discharged after stroke or coronary artery disease event.  Additionally, UMC will continue to refine and improve the operations of the Coumadin Clinic by conducting quality improvement activities following the implementation of the clinic.</w:t>
      </w:r>
    </w:p>
    <w:p w:rsidR="00BA27A0" w:rsidRDefault="00BA27A0">
      <w:pPr>
        <w:spacing w:after="120" w:line="276" w:lineRule="auto"/>
        <w:rPr>
          <w:rFonts w:ascii="Calibri" w:hAnsi="Calibri" w:cs="Calibri"/>
          <w:b/>
          <w:sz w:val="22"/>
        </w:rPr>
      </w:pPr>
      <w:r>
        <w:rPr>
          <w:rFonts w:ascii="Calibri" w:hAnsi="Calibri" w:cs="Calibri"/>
          <w:b/>
          <w:sz w:val="22"/>
        </w:rPr>
        <w:t>Goals and Relationship to Regional Goals:</w:t>
      </w:r>
    </w:p>
    <w:p w:rsidR="00BA27A0" w:rsidRDefault="00BA27A0">
      <w:pPr>
        <w:autoSpaceDE w:val="0"/>
        <w:autoSpaceDN w:val="0"/>
        <w:adjustRightInd w:val="0"/>
        <w:spacing w:after="120" w:line="276" w:lineRule="auto"/>
        <w:rPr>
          <w:rFonts w:ascii="Calibri" w:hAnsi="Calibri" w:cs="Calibri"/>
          <w:sz w:val="22"/>
          <w:u w:val="single"/>
        </w:rPr>
      </w:pPr>
      <w:r>
        <w:rPr>
          <w:rFonts w:ascii="Calibri" w:hAnsi="Calibri" w:cs="Calibri"/>
          <w:sz w:val="22"/>
          <w:u w:val="single"/>
        </w:rPr>
        <w:t>Project Goals:</w:t>
      </w:r>
      <w:r>
        <w:rPr>
          <w:rFonts w:ascii="Calibri" w:hAnsi="Calibri" w:cs="Calibri"/>
          <w:sz w:val="22"/>
        </w:rPr>
        <w:t xml:space="preserve"> </w:t>
      </w:r>
      <w:r>
        <w:rPr>
          <w:rFonts w:ascii="Calibri" w:hAnsi="Calibri"/>
          <w:sz w:val="22"/>
        </w:rPr>
        <w:t>The goal of this project is to improve overall patient health status post-stroke or post-coronary artery disease event. The project will accomplish this broad goal by improving patient management of Coumadin intake.</w:t>
      </w:r>
    </w:p>
    <w:p w:rsidR="00BA27A0" w:rsidRDefault="00BA27A0">
      <w:pPr>
        <w:autoSpaceDE w:val="0"/>
        <w:autoSpaceDN w:val="0"/>
        <w:adjustRightInd w:val="0"/>
        <w:spacing w:after="120" w:line="276" w:lineRule="auto"/>
        <w:rPr>
          <w:rFonts w:ascii="Calibri" w:hAnsi="Calibri" w:cs="Calibri"/>
          <w:sz w:val="22"/>
        </w:rPr>
      </w:pPr>
      <w:r>
        <w:rPr>
          <w:rFonts w:ascii="Calibri" w:hAnsi="Calibri" w:cs="Calibri"/>
          <w:sz w:val="22"/>
          <w:u w:val="single"/>
        </w:rPr>
        <w:t>This project meets the following regional goals:</w:t>
      </w:r>
      <w:r>
        <w:rPr>
          <w:rFonts w:ascii="Calibri" w:hAnsi="Calibri" w:cs="Calibri"/>
          <w:sz w:val="22"/>
        </w:rPr>
        <w:t xml:space="preserve"> This project meets the regional goal of better managing patients with chronic diseases. Patients with chronic conditions that necessitate Coumadin intake will be able to better manage their conditions, in cooperation with UMC providers, as a result of this project.</w:t>
      </w:r>
    </w:p>
    <w:p w:rsidR="00BA27A0" w:rsidRDefault="00BA27A0">
      <w:pPr>
        <w:spacing w:after="120" w:line="276" w:lineRule="auto"/>
        <w:rPr>
          <w:rFonts w:ascii="Calibri" w:hAnsi="Calibri" w:cs="Calibri"/>
          <w:b/>
          <w:sz w:val="22"/>
        </w:rPr>
      </w:pPr>
      <w:r>
        <w:rPr>
          <w:rFonts w:ascii="Calibri" w:hAnsi="Calibri" w:cs="Calibri"/>
          <w:b/>
          <w:sz w:val="22"/>
        </w:rPr>
        <w:t xml:space="preserve">Challenges: </w:t>
      </w:r>
    </w:p>
    <w:p w:rsidR="00BA27A0" w:rsidRDefault="00BA27A0">
      <w:pPr>
        <w:spacing w:after="120" w:line="276" w:lineRule="auto"/>
        <w:rPr>
          <w:rFonts w:ascii="Calibri" w:hAnsi="Calibri" w:cs="Calibri"/>
          <w:sz w:val="22"/>
        </w:rPr>
      </w:pPr>
      <w:r>
        <w:rPr>
          <w:rFonts w:ascii="Calibri" w:hAnsi="Calibri"/>
          <w:sz w:val="22"/>
        </w:rPr>
        <w:t>Establishing the clinic will require training staff to work as a team around this condition in a collaborative partnership. It will also require UMC to hire additional staff to cover the current staff’s present patient load. UMC will need to obtain a dedicated clinical location and allocate time on the applicable staffing schedule, provide transportation when appropriate, coordinate clinic processes with hospital discharge process to refer appropriate patients, and notify the relevant patient population that the clinic exists and of the benefits to making use of it. It is expected that this clinic will need to grow exponentially and that services will need to expand to each clinic site</w:t>
      </w:r>
      <w:r>
        <w:rPr>
          <w:rFonts w:ascii="Calibri" w:hAnsi="Calibri" w:cs="Calibri"/>
          <w:sz w:val="22"/>
        </w:rPr>
        <w:t>.</w:t>
      </w:r>
    </w:p>
    <w:p w:rsidR="00BA27A0" w:rsidRDefault="00BA27A0">
      <w:pPr>
        <w:spacing w:after="120" w:line="276" w:lineRule="auto"/>
        <w:rPr>
          <w:rFonts w:ascii="Calibri" w:hAnsi="Calibri" w:cs="Calibri"/>
          <w:b/>
          <w:sz w:val="22"/>
        </w:rPr>
      </w:pPr>
      <w:r>
        <w:rPr>
          <w:rFonts w:ascii="Calibri" w:hAnsi="Calibri" w:cs="Calibri"/>
          <w:b/>
          <w:sz w:val="22"/>
        </w:rPr>
        <w:t>5-Year Expected Outcome for Provider and Patients:</w:t>
      </w:r>
    </w:p>
    <w:p w:rsidR="00BA27A0" w:rsidRDefault="00BA27A0">
      <w:pPr>
        <w:spacing w:after="120" w:line="276" w:lineRule="auto"/>
        <w:rPr>
          <w:rFonts w:ascii="Calibri" w:hAnsi="Calibri" w:cs="Calibri"/>
          <w:sz w:val="22"/>
        </w:rPr>
      </w:pPr>
      <w:r>
        <w:rPr>
          <w:rFonts w:ascii="Calibri" w:hAnsi="Calibri"/>
          <w:sz w:val="22"/>
        </w:rPr>
        <w:t>As a result of this project, UMC expects an increase in positive patient outcomes and better accomplishment of treatment goals. UMC also expects a reduction in deterioration of medical conditions and resulting hospital readmissions.</w:t>
      </w:r>
    </w:p>
    <w:p w:rsidR="00BA27A0" w:rsidRDefault="00BA27A0">
      <w:pPr>
        <w:spacing w:after="120" w:line="276" w:lineRule="auto"/>
        <w:rPr>
          <w:rFonts w:ascii="Calibri" w:hAnsi="Calibri" w:cs="Calibri"/>
          <w:b/>
          <w:sz w:val="22"/>
        </w:rPr>
      </w:pPr>
      <w:r>
        <w:rPr>
          <w:rFonts w:ascii="Calibri" w:hAnsi="Calibri" w:cs="Calibri"/>
          <w:b/>
          <w:sz w:val="22"/>
          <w:u w:val="single"/>
        </w:rPr>
        <w:t>Starting Point/Baseline:</w:t>
      </w:r>
      <w:r>
        <w:rPr>
          <w:rFonts w:ascii="Calibri" w:hAnsi="Calibri" w:cs="Calibri"/>
          <w:b/>
          <w:sz w:val="22"/>
        </w:rPr>
        <w:t xml:space="preserve"> </w:t>
      </w:r>
    </w:p>
    <w:p w:rsidR="00BA27A0" w:rsidRDefault="00BA27A0">
      <w:pPr>
        <w:spacing w:after="120" w:line="276" w:lineRule="auto"/>
        <w:rPr>
          <w:rFonts w:ascii="Calibri" w:hAnsi="Calibri" w:cs="Calibri"/>
          <w:sz w:val="22"/>
        </w:rPr>
      </w:pPr>
      <w:r>
        <w:rPr>
          <w:rFonts w:ascii="Calibri" w:hAnsi="Calibri"/>
          <w:sz w:val="22"/>
        </w:rPr>
        <w:t xml:space="preserve">This is a new clinic for UMC-NHC. Therefore the baseline is 0 for patient utilization.  The wait time for patients needing Coumadin follow-up care post hospitalization could be as long as 90 days in the current </w:t>
      </w:r>
      <w:smartTag w:uri="urn:schemas-microsoft-com:office:smarttags" w:element="City">
        <w:smartTag w:uri="urn:schemas-microsoft-com:office:smarttags" w:element="place">
          <w:r>
            <w:rPr>
              <w:rFonts w:ascii="Calibri" w:hAnsi="Calibri"/>
              <w:sz w:val="22"/>
            </w:rPr>
            <w:t>El Paso</w:t>
          </w:r>
        </w:smartTag>
      </w:smartTag>
      <w:r>
        <w:rPr>
          <w:rFonts w:ascii="Calibri" w:hAnsi="Calibri"/>
          <w:sz w:val="22"/>
        </w:rPr>
        <w:t xml:space="preserve"> market, and maybe longer for underfunded patients.  </w:t>
      </w:r>
    </w:p>
    <w:p w:rsidR="00BA27A0" w:rsidRDefault="00BA27A0">
      <w:pPr>
        <w:spacing w:after="120" w:line="276" w:lineRule="auto"/>
        <w:rPr>
          <w:rFonts w:ascii="Calibri" w:hAnsi="Calibri" w:cs="Calibri"/>
          <w:b/>
          <w:sz w:val="22"/>
        </w:rPr>
      </w:pPr>
      <w:r>
        <w:rPr>
          <w:rFonts w:ascii="Calibri" w:hAnsi="Calibri" w:cs="Calibri"/>
          <w:b/>
          <w:sz w:val="22"/>
          <w:u w:val="single"/>
        </w:rPr>
        <w:t>Rationale:</w:t>
      </w:r>
      <w:r>
        <w:rPr>
          <w:rFonts w:ascii="Calibri" w:hAnsi="Calibri" w:cs="Calibri"/>
          <w:b/>
          <w:sz w:val="22"/>
        </w:rPr>
        <w:t xml:space="preserve"> </w:t>
      </w:r>
    </w:p>
    <w:p w:rsidR="00BA27A0" w:rsidRDefault="00BA27A0">
      <w:pPr>
        <w:spacing w:after="120" w:line="276" w:lineRule="auto"/>
        <w:rPr>
          <w:rFonts w:ascii="Calibri" w:hAnsi="Calibri" w:cs="Arial"/>
          <w:sz w:val="22"/>
        </w:rPr>
      </w:pPr>
      <w:r>
        <w:rPr>
          <w:rFonts w:ascii="Calibri" w:hAnsi="Calibri" w:cs="Arial"/>
          <w:sz w:val="22"/>
        </w:rPr>
        <w:t xml:space="preserve">Coumadin is a widely prescribed anticoagulant, used to prevent heart attacks, strokes, and blood clots. Coumadin can result in serious side-effects for patients, and does not interact well with many other common (and over-the-counter) medications. For this reason, it is imperative that Coumadin users be continuously monitored, well-educated, and have their dosage adjusted if and when their condition or side-effects warrant a change. Studies have shown that self-testing leads to better therapy outcomes, which means that patients need the ability and equipment to take this step. Access into a Coumadin clinic or comprehensive treatment program in the </w:t>
      </w:r>
      <w:smartTag w:uri="urn:schemas-microsoft-com:office:smarttags" w:element="City">
        <w:smartTag w:uri="urn:schemas-microsoft-com:office:smarttags" w:element="place">
          <w:r>
            <w:rPr>
              <w:rFonts w:ascii="Calibri" w:hAnsi="Calibri" w:cs="Arial"/>
              <w:sz w:val="22"/>
            </w:rPr>
            <w:t>El Paso</w:t>
          </w:r>
        </w:smartTag>
      </w:smartTag>
      <w:r>
        <w:rPr>
          <w:rFonts w:ascii="Calibri" w:hAnsi="Calibri" w:cs="Arial"/>
          <w:sz w:val="22"/>
        </w:rPr>
        <w:t xml:space="preserve"> area is extremely limited for patients who do not have private insurance.</w:t>
      </w:r>
    </w:p>
    <w:p w:rsidR="00BA27A0" w:rsidRDefault="00BA27A0">
      <w:pPr>
        <w:spacing w:after="120" w:line="276" w:lineRule="auto"/>
        <w:rPr>
          <w:rFonts w:ascii="Calibri" w:hAnsi="Calibri" w:cs="Calibri"/>
          <w:b/>
          <w:sz w:val="22"/>
        </w:rPr>
      </w:pPr>
      <w:r>
        <w:rPr>
          <w:rFonts w:ascii="Calibri" w:hAnsi="Calibri" w:cs="Calibri"/>
          <w:b/>
          <w:sz w:val="22"/>
        </w:rPr>
        <w:t xml:space="preserve">Project Components: </w:t>
      </w:r>
    </w:p>
    <w:p w:rsidR="00BA27A0" w:rsidRDefault="00BA27A0">
      <w:pPr>
        <w:spacing w:after="120" w:line="276" w:lineRule="auto"/>
        <w:rPr>
          <w:rFonts w:ascii="Calibri" w:hAnsi="Calibri" w:cs="Calibri"/>
          <w:sz w:val="22"/>
        </w:rPr>
      </w:pPr>
      <w:r>
        <w:rPr>
          <w:rFonts w:ascii="Calibri" w:hAnsi="Calibri" w:cs="Calibri"/>
          <w:sz w:val="22"/>
        </w:rPr>
        <w:t>This project will accomplish the following project component:</w:t>
      </w:r>
    </w:p>
    <w:p w:rsidR="00BA27A0" w:rsidRDefault="00BA27A0">
      <w:pPr>
        <w:numPr>
          <w:ilvl w:val="1"/>
          <w:numId w:val="10"/>
        </w:numPr>
        <w:autoSpaceDE w:val="0"/>
        <w:autoSpaceDN w:val="0"/>
        <w:adjustRightInd w:val="0"/>
        <w:spacing w:after="120" w:line="276" w:lineRule="auto"/>
        <w:jc w:val="left"/>
        <w:rPr>
          <w:rFonts w:ascii="Calibri" w:hAnsi="Calibri" w:cs="Calibri"/>
          <w:sz w:val="22"/>
        </w:rPr>
      </w:pPr>
      <w:r>
        <w:rPr>
          <w:rFonts w:ascii="Calibri" w:hAnsi="Calibri" w:cs="Calibri"/>
          <w:sz w:val="22"/>
        </w:rPr>
        <w:t>Implement a medication management program that serves the patient across a continuum of care targeting one or more chronic disease patient populations</w:t>
      </w:r>
    </w:p>
    <w:p w:rsidR="00BA27A0" w:rsidRDefault="00BA27A0">
      <w:pPr>
        <w:numPr>
          <w:ilvl w:val="2"/>
          <w:numId w:val="10"/>
        </w:numPr>
        <w:autoSpaceDE w:val="0"/>
        <w:autoSpaceDN w:val="0"/>
        <w:adjustRightInd w:val="0"/>
        <w:spacing w:after="120" w:line="276" w:lineRule="auto"/>
        <w:jc w:val="left"/>
        <w:rPr>
          <w:rFonts w:ascii="Calibri" w:hAnsi="Calibri" w:cs="Calibri"/>
          <w:sz w:val="22"/>
        </w:rPr>
      </w:pPr>
      <w:r>
        <w:rPr>
          <w:rFonts w:ascii="Calibri" w:hAnsi="Calibri" w:cs="Calibri"/>
          <w:sz w:val="22"/>
        </w:rPr>
        <w:t>UMC will implement electronic prescription from NHCs which expedites prescription availability while ensuring accuracy and avoiding contraindications</w:t>
      </w:r>
    </w:p>
    <w:p w:rsidR="00BA27A0" w:rsidRDefault="00BA27A0">
      <w:pPr>
        <w:autoSpaceDE w:val="0"/>
        <w:autoSpaceDN w:val="0"/>
        <w:adjustRightInd w:val="0"/>
        <w:spacing w:after="120" w:line="276" w:lineRule="auto"/>
        <w:rPr>
          <w:rFonts w:ascii="Calibri" w:hAnsi="Calibri" w:cs="Calibri"/>
          <w:sz w:val="22"/>
        </w:rPr>
      </w:pPr>
      <w:r>
        <w:rPr>
          <w:rFonts w:ascii="Calibri" w:hAnsi="Calibri" w:cs="Calibri"/>
          <w:b/>
          <w:sz w:val="22"/>
        </w:rPr>
        <w:t xml:space="preserve">Unique community need identification numbers the project addresses: </w:t>
      </w:r>
      <w:r>
        <w:rPr>
          <w:rFonts w:ascii="Calibri" w:hAnsi="Calibri" w:cs="Calibri"/>
          <w:sz w:val="22"/>
        </w:rPr>
        <w:t xml:space="preserve"> </w:t>
      </w:r>
    </w:p>
    <w:p w:rsidR="00BA27A0" w:rsidRDefault="00BA27A0">
      <w:pPr>
        <w:numPr>
          <w:ilvl w:val="0"/>
          <w:numId w:val="11"/>
        </w:numPr>
        <w:spacing w:after="0" w:line="276" w:lineRule="auto"/>
        <w:jc w:val="left"/>
        <w:rPr>
          <w:rFonts w:ascii="Calibri" w:hAnsi="Calibri" w:cs="Calibri"/>
          <w:sz w:val="22"/>
        </w:rPr>
      </w:pPr>
      <w:r>
        <w:rPr>
          <w:rFonts w:ascii="Calibri" w:hAnsi="Calibri" w:cs="Calibri"/>
          <w:sz w:val="22"/>
        </w:rPr>
        <w:t>CN-2: Secondary and Specialty Care</w:t>
      </w:r>
    </w:p>
    <w:p w:rsidR="00BA27A0" w:rsidRDefault="00BA27A0">
      <w:pPr>
        <w:numPr>
          <w:ilvl w:val="0"/>
          <w:numId w:val="11"/>
        </w:numPr>
        <w:spacing w:after="0" w:line="276" w:lineRule="auto"/>
        <w:jc w:val="left"/>
        <w:rPr>
          <w:rFonts w:ascii="Calibri" w:hAnsi="Calibri" w:cs="Calibri"/>
          <w:sz w:val="22"/>
        </w:rPr>
      </w:pPr>
      <w:r>
        <w:rPr>
          <w:rFonts w:ascii="Calibri" w:hAnsi="Calibri" w:cs="Calibri"/>
          <w:sz w:val="22"/>
        </w:rPr>
        <w:t>CN-6: Other Projects</w:t>
      </w:r>
    </w:p>
    <w:p w:rsidR="00BA27A0" w:rsidRDefault="00BA27A0">
      <w:pPr>
        <w:spacing w:after="0"/>
        <w:rPr>
          <w:rFonts w:ascii="Calibri" w:hAnsi="Calibri" w:cs="Calibri"/>
          <w:sz w:val="22"/>
        </w:rPr>
      </w:pPr>
    </w:p>
    <w:p w:rsidR="00BA27A0" w:rsidRDefault="00BA27A0">
      <w:pPr>
        <w:spacing w:after="120" w:line="276" w:lineRule="auto"/>
        <w:rPr>
          <w:rFonts w:ascii="Calibri" w:hAnsi="Calibri" w:cs="Calibri"/>
          <w:sz w:val="22"/>
        </w:rPr>
      </w:pPr>
      <w:r>
        <w:rPr>
          <w:rFonts w:ascii="Calibri" w:hAnsi="Calibri" w:cs="Calibri"/>
          <w:b/>
          <w:sz w:val="22"/>
        </w:rPr>
        <w:t xml:space="preserve">How the project represents a new initiative or significantly enhances an existing delivery system reform initiative: </w:t>
      </w:r>
    </w:p>
    <w:p w:rsidR="00BA27A0" w:rsidRDefault="00BA27A0">
      <w:pPr>
        <w:spacing w:after="120" w:line="276" w:lineRule="auto"/>
        <w:rPr>
          <w:rFonts w:ascii="Calibri" w:hAnsi="Calibri" w:cs="Calibri"/>
          <w:b/>
          <w:sz w:val="22"/>
          <w:u w:val="single"/>
        </w:rPr>
      </w:pPr>
      <w:r>
        <w:rPr>
          <w:rFonts w:ascii="Calibri" w:hAnsi="Calibri" w:cs="Calibri"/>
          <w:sz w:val="22"/>
        </w:rPr>
        <w:t xml:space="preserve">This project will significantly enhance the care provided to </w:t>
      </w:r>
      <w:smartTag w:uri="urn:schemas-microsoft-com:office:smarttags" w:element="City">
        <w:smartTag w:uri="urn:schemas-microsoft-com:office:smarttags" w:element="place">
          <w:r>
            <w:rPr>
              <w:rFonts w:ascii="Calibri" w:hAnsi="Calibri" w:cs="Calibri"/>
              <w:sz w:val="22"/>
            </w:rPr>
            <w:t>El Paso</w:t>
          </w:r>
        </w:smartTag>
      </w:smartTag>
      <w:r>
        <w:rPr>
          <w:rFonts w:ascii="Calibri" w:hAnsi="Calibri" w:cs="Calibri"/>
          <w:sz w:val="22"/>
        </w:rPr>
        <w:t xml:space="preserve"> residents through UMC’s neighborhood health centers (NHCs), by adding Coumadin medication management services to the menu of care options that are available to patients outside of the inpatient or ED setting.</w:t>
      </w:r>
    </w:p>
    <w:p w:rsidR="00BA27A0" w:rsidRDefault="00BA27A0">
      <w:pPr>
        <w:spacing w:after="120" w:line="276" w:lineRule="auto"/>
        <w:rPr>
          <w:rFonts w:ascii="Calibri" w:hAnsi="Calibri" w:cs="Calibri"/>
          <w:sz w:val="22"/>
        </w:rPr>
      </w:pPr>
      <w:r>
        <w:rPr>
          <w:rFonts w:ascii="Calibri" w:hAnsi="Calibri" w:cs="Calibri"/>
          <w:b/>
          <w:sz w:val="22"/>
          <w:u w:val="single"/>
        </w:rPr>
        <w:t>Related Category 3 Outcome Measures:</w:t>
      </w:r>
      <w:r>
        <w:rPr>
          <w:rFonts w:ascii="Calibri" w:hAnsi="Calibri" w:cs="Calibri"/>
          <w:sz w:val="22"/>
        </w:rPr>
        <w:t xml:space="preserve"> </w:t>
      </w:r>
    </w:p>
    <w:p w:rsidR="00BA27A0" w:rsidRDefault="00BA27A0">
      <w:pPr>
        <w:spacing w:after="120" w:line="276" w:lineRule="auto"/>
        <w:rPr>
          <w:rFonts w:ascii="Calibri" w:hAnsi="Calibri" w:cs="Calibri"/>
          <w:sz w:val="22"/>
        </w:rPr>
      </w:pPr>
      <w:r>
        <w:rPr>
          <w:rFonts w:ascii="Calibri" w:hAnsi="Calibri" w:cs="Calibri"/>
          <w:sz w:val="22"/>
        </w:rPr>
        <w:t>OD-11 Addressing Health Disparities in Minority Populations</w:t>
      </w:r>
    </w:p>
    <w:p w:rsidR="00BA27A0" w:rsidRDefault="00BA27A0">
      <w:pPr>
        <w:spacing w:after="120" w:line="276" w:lineRule="auto"/>
        <w:rPr>
          <w:rFonts w:ascii="Calibri" w:hAnsi="Calibri" w:cs="Calibri"/>
          <w:sz w:val="22"/>
        </w:rPr>
      </w:pPr>
      <w:r>
        <w:rPr>
          <w:rFonts w:ascii="Calibri" w:hAnsi="Calibri" w:cs="Calibri"/>
          <w:sz w:val="22"/>
        </w:rPr>
        <w:t>IT-11.5 Select any other Category 3 outcome (PPAs, PPRs, or ED utilization) or a combination of non-standalone measures and target a specific minority population with a demonstrated disparity in the particular measure—IT.312 - Other readmission rate: coronary artery disease and stroke 30-day readmission rate for patient population receiving care from Coumadin clinics at neighborhood health centers (NHCs)</w:t>
      </w:r>
    </w:p>
    <w:p w:rsidR="00BA27A0" w:rsidRDefault="00BA27A0">
      <w:pPr>
        <w:spacing w:after="120" w:line="276" w:lineRule="auto"/>
        <w:rPr>
          <w:rFonts w:ascii="Calibri" w:hAnsi="Calibri" w:cs="Calibri"/>
          <w:b/>
          <w:sz w:val="22"/>
        </w:rPr>
      </w:pPr>
      <w:r>
        <w:rPr>
          <w:rFonts w:ascii="Calibri" w:hAnsi="Calibri" w:cs="Calibri"/>
          <w:b/>
          <w:sz w:val="22"/>
        </w:rPr>
        <w:t xml:space="preserve">Reasons/rationale for selecting the outcome measures: </w:t>
      </w:r>
    </w:p>
    <w:p w:rsidR="00BA27A0" w:rsidRDefault="00BA27A0">
      <w:pPr>
        <w:spacing w:after="200" w:line="276" w:lineRule="auto"/>
        <w:rPr>
          <w:rFonts w:ascii="Calibri" w:hAnsi="Calibri" w:cs="Calibri"/>
          <w:sz w:val="22"/>
        </w:rPr>
      </w:pPr>
      <w:r>
        <w:rPr>
          <w:rFonts w:ascii="Calibri" w:hAnsi="Calibri" w:cs="Calibri"/>
          <w:sz w:val="22"/>
        </w:rPr>
        <w:t>This outcome measure was chosen to measure the improvement in readmission rates for patients receiving Coumadin management services from UMC’s neighborhood health centers (NHCs). Because a key purpose of the project is ultimately to improve the delivery of care in the setting where it is most appropriate, UMC believes this outcome measure will accurately track whether or not the project has been successful in its primary goal, from the perspective of the patients to whom the services are provided.</w:t>
      </w:r>
    </w:p>
    <w:p w:rsidR="00BA27A0" w:rsidRDefault="00BA27A0">
      <w:pPr>
        <w:spacing w:after="200" w:line="276" w:lineRule="auto"/>
        <w:rPr>
          <w:rFonts w:ascii="Calibri" w:hAnsi="Calibri" w:cs="Calibri"/>
          <w:sz w:val="22"/>
        </w:rPr>
      </w:pPr>
      <w:r>
        <w:rPr>
          <w:rFonts w:ascii="Calibri" w:hAnsi="Calibri" w:cs="Calibri"/>
          <w:b/>
          <w:sz w:val="22"/>
          <w:u w:val="single"/>
        </w:rPr>
        <w:t>Relationship to other Projects:</w:t>
      </w:r>
      <w:r>
        <w:rPr>
          <w:rFonts w:ascii="Calibri" w:hAnsi="Calibri" w:cs="Calibri"/>
          <w:b/>
          <w:sz w:val="22"/>
        </w:rPr>
        <w:t xml:space="preserve">  </w:t>
      </w:r>
      <w:r>
        <w:rPr>
          <w:rFonts w:ascii="Calibri" w:hAnsi="Calibri" w:cs="Calibri"/>
          <w:sz w:val="22"/>
        </w:rPr>
        <w:t xml:space="preserve">This project is one of several UMC projects which aim to improve the quality and availability of primary and specialty care services in the </w:t>
      </w:r>
      <w:smartTag w:uri="urn:schemas-microsoft-com:office:smarttags" w:element="City">
        <w:r>
          <w:rPr>
            <w:rFonts w:ascii="Calibri" w:hAnsi="Calibri" w:cs="Calibri"/>
            <w:sz w:val="22"/>
          </w:rPr>
          <w:t>El Paso</w:t>
        </w:r>
      </w:smartTag>
      <w:r>
        <w:rPr>
          <w:rFonts w:ascii="Calibri" w:hAnsi="Calibri" w:cs="Calibri"/>
          <w:sz w:val="22"/>
        </w:rPr>
        <w:t xml:space="preserve"> community, including Establishing the Crossroads Clinic in </w:t>
      </w:r>
      <w:smartTag w:uri="urn:schemas-microsoft-com:office:smarttags" w:element="City">
        <w:smartTag w:uri="urn:schemas-microsoft-com:office:smarttags" w:element="place">
          <w:r>
            <w:rPr>
              <w:rFonts w:ascii="Calibri" w:hAnsi="Calibri" w:cs="Calibri"/>
              <w:sz w:val="22"/>
            </w:rPr>
            <w:t>Southwestern El Paso</w:t>
          </w:r>
        </w:smartTag>
      </w:smartTag>
      <w:r>
        <w:rPr>
          <w:rFonts w:ascii="Calibri" w:hAnsi="Calibri" w:cs="Calibri"/>
          <w:sz w:val="22"/>
        </w:rPr>
        <w:t xml:space="preserve"> (138951211.1.3); Expanding Primary Care at Ysleta and Fabens (138951211.1.5); and Expansion and Enhancement of Medical Homes at UMC NHCs (138951211.2.4). UMC’s NHC Quality Improvement infrastructure project (138951211.1.7) will enable UMC to effectively conduct quality improvement activities as part of this project.</w:t>
      </w:r>
    </w:p>
    <w:p w:rsidR="00BA27A0" w:rsidRDefault="00BA27A0">
      <w:pPr>
        <w:spacing w:after="120" w:line="276" w:lineRule="auto"/>
        <w:rPr>
          <w:rFonts w:ascii="Calibri" w:hAnsi="Calibri" w:cs="Calibri"/>
          <w:sz w:val="22"/>
        </w:rPr>
      </w:pPr>
      <w:r>
        <w:rPr>
          <w:rFonts w:ascii="Calibri" w:hAnsi="Calibri" w:cs="Calibri"/>
          <w:b/>
          <w:sz w:val="22"/>
          <w:u w:val="single"/>
        </w:rPr>
        <w:t>Relationship to Other Performing Providers’ Projects and Plan for Learning Collaborative:</w:t>
      </w:r>
      <w:r>
        <w:rPr>
          <w:rFonts w:ascii="Calibri" w:hAnsi="Calibri" w:cs="Calibri"/>
          <w:b/>
          <w:sz w:val="22"/>
        </w:rPr>
        <w:t xml:space="preserve"> </w:t>
      </w:r>
      <w:smartTag w:uri="urn:schemas-microsoft-com:office:smarttags" w:element="City">
        <w:smartTag w:uri="urn:schemas-microsoft-com:office:smarttags" w:element="place">
          <w:r>
            <w:rPr>
              <w:rFonts w:ascii="Calibri" w:hAnsi="Calibri" w:cs="Calibri"/>
              <w:sz w:val="22"/>
            </w:rPr>
            <w:t>Providence</w:t>
          </w:r>
        </w:smartTag>
      </w:smartTag>
      <w:r>
        <w:rPr>
          <w:rFonts w:ascii="Calibri" w:hAnsi="Calibri" w:cs="Calibri"/>
          <w:sz w:val="22"/>
        </w:rPr>
        <w:t xml:space="preserve"> and Sierra East are also developing projects to support the expansion of access to primary and specialty care in the community.</w:t>
      </w:r>
    </w:p>
    <w:p w:rsidR="00BA27A0" w:rsidRDefault="00BA27A0">
      <w:pPr>
        <w:spacing w:after="120" w:line="276" w:lineRule="auto"/>
        <w:rPr>
          <w:rFonts w:ascii="Calibri" w:hAnsi="Calibri" w:cs="Calibri"/>
          <w:iCs/>
          <w:sz w:val="22"/>
        </w:rPr>
      </w:pPr>
      <w:r>
        <w:rPr>
          <w:rFonts w:ascii="Calibri" w:hAnsi="Calibri" w:cs="Calibri"/>
          <w:iCs/>
          <w:sz w:val="22"/>
        </w:rPr>
        <w:t xml:space="preserve">Performing Providers, IGT entities, and the Anchor for Region 15 have held consistent monthly meetings throughout the development of the Waiver. As noted by HHSC and CMS, meeting and discussing Waiver successes and challenges facilitates open communication and collaboration among the Region 15 participants. Meetings, calls, and webinars represent a way to share ideas, experiences, and work together to solve regional healthcare delivery issues and continue to work to address Region 15’s community needs.  UMC, as the Region 15 Anchor anticipates continuing to facilitate a monthly meeting, and potentially breaking into workgroup Learning Collaboratives that meet more frequently to address specific DSRIP project areas that are common to Region 15, as determined to be necessary by the Performing Providers and IGT entities. UMC will continue to maintain the Region 15 website, which has updated information from HHSC, regional projects listed by Performing Provider, contact information for each participant, and minutes, notes and slides from each meeting for those parties that were unable to attend in-person. </w:t>
      </w:r>
    </w:p>
    <w:p w:rsidR="00BA27A0" w:rsidRDefault="00BA27A0">
      <w:pPr>
        <w:spacing w:after="120" w:line="276" w:lineRule="auto"/>
        <w:rPr>
          <w:rFonts w:ascii="Calibri" w:hAnsi="Calibri" w:cs="Calibri"/>
          <w:iCs/>
          <w:sz w:val="22"/>
        </w:rPr>
      </w:pPr>
      <w:r>
        <w:rPr>
          <w:rFonts w:ascii="Calibri" w:hAnsi="Calibri" w:cs="Calibri"/>
          <w:iCs/>
          <w:sz w:val="22"/>
        </w:rPr>
        <w:t>Region 15 participants look forward to the opportunity to gather annually with Performing Providers and IGT entities state-wide to share experiences and challenges in implementing DSRIP projects, but also recognize the importance of continuing ongoing regional interactions to effectuate change locally. Through the use of both state-wide and regional Learning Collaborative components, Region 15 is confident that it will be successful in improving the local healthcare delivery system for the low-income and indigent population.</w:t>
      </w:r>
    </w:p>
    <w:p w:rsidR="00BA27A0" w:rsidRDefault="00BA27A0">
      <w:pPr>
        <w:spacing w:after="200" w:line="276" w:lineRule="auto"/>
        <w:rPr>
          <w:rFonts w:ascii="Calibri" w:hAnsi="Calibri" w:cs="Calibri"/>
          <w:b/>
          <w:sz w:val="22"/>
          <w:u w:val="single"/>
        </w:rPr>
      </w:pPr>
      <w:r>
        <w:rPr>
          <w:rFonts w:ascii="Calibri" w:hAnsi="Calibri" w:cs="Calibri"/>
          <w:b/>
          <w:sz w:val="22"/>
          <w:u w:val="single"/>
        </w:rPr>
        <w:t>Project Valuation</w:t>
      </w:r>
    </w:p>
    <w:p w:rsidR="00BA27A0" w:rsidRDefault="00BA27A0">
      <w:pPr>
        <w:autoSpaceDE w:val="0"/>
        <w:autoSpaceDN w:val="0"/>
        <w:adjustRightInd w:val="0"/>
        <w:spacing w:after="200" w:line="276" w:lineRule="auto"/>
        <w:rPr>
          <w:rFonts w:ascii="Calibri" w:hAnsi="Calibri" w:cs="Calibri"/>
          <w:color w:val="000000"/>
          <w:sz w:val="22"/>
        </w:rPr>
      </w:pPr>
      <w:r>
        <w:rPr>
          <w:rFonts w:ascii="Calibri" w:hAnsi="Calibri" w:cs="Calibri"/>
          <w:color w:val="000000"/>
          <w:sz w:val="22"/>
        </w:rPr>
        <w:t>In determining the value of this project, UMC considered the extent to which the provision of Coumadin clinic services at UMC’s neighborhood health centers (NHCs) will address the community needs, the population served, resources and cost necessary to implement the project, and the project’s ability to meet the goals of the Waiver (including supporting the development of a coordinated care delivery system, improving outcomes while containing costs, and improving the healthcare infrastructure). This project will focus on achieving the Waiver goal of improving outcomes while curbing healthcare costs, because Coumadin management services and related support will be available under this project to patients when and where they need it, thereby reducing complications and reducing the likelihood of readmission. Additionally, providing these services at the appropriate time makes it more likely that a patient’s chronic health problems will be addressed before greater complications can develop, leading to better outcomes and less costly treatment.</w:t>
      </w:r>
    </w:p>
    <w:p w:rsidR="00BA27A0" w:rsidRDefault="00BA27A0">
      <w:pPr>
        <w:spacing w:after="60" w:line="276" w:lineRule="auto"/>
        <w:rPr>
          <w:rFonts w:ascii="Calibri" w:hAnsi="Calibri" w:cs="Calibri"/>
          <w:sz w:val="22"/>
        </w:rPr>
      </w:pPr>
    </w:p>
    <w:p w:rsidR="00BA27A0" w:rsidRDefault="00BA27A0">
      <w:pPr>
        <w:spacing w:after="200" w:line="276" w:lineRule="auto"/>
        <w:jc w:val="left"/>
        <w:rPr>
          <w:rFonts w:ascii="Calibri" w:hAnsi="Calibri"/>
          <w:sz w:val="22"/>
          <w:szCs w:val="24"/>
        </w:rPr>
        <w:sectPr w:rsidR="00BA27A0">
          <w:footerReference w:type="default" r:id="rId7"/>
          <w:pgSz w:w="12240" w:h="15840"/>
          <w:pgMar w:top="1440" w:right="1440" w:bottom="1440" w:left="1440" w:header="720" w:footer="720" w:gutter="0"/>
          <w:cols w:space="720"/>
          <w:docGrid w:linePitch="360"/>
        </w:sectPr>
      </w:pPr>
    </w:p>
    <w:tbl>
      <w:tblPr>
        <w:tblW w:w="14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0"/>
        <w:gridCol w:w="1029"/>
        <w:gridCol w:w="1131"/>
        <w:gridCol w:w="2166"/>
        <w:gridCol w:w="3297"/>
        <w:gridCol w:w="387"/>
        <w:gridCol w:w="3690"/>
      </w:tblGrid>
      <w:tr w:rsidR="00BA27A0">
        <w:trPr>
          <w:trHeight w:val="272"/>
          <w:tblHeader/>
          <w:jc w:val="center"/>
        </w:trPr>
        <w:tc>
          <w:tcPr>
            <w:tcW w:w="2430" w:type="dxa"/>
          </w:tcPr>
          <w:p w:rsidR="00BA27A0" w:rsidRDefault="00BA27A0">
            <w:pPr>
              <w:spacing w:after="0" w:line="276" w:lineRule="auto"/>
              <w:jc w:val="center"/>
              <w:rPr>
                <w:rFonts w:ascii="Calibri" w:hAnsi="Calibri"/>
                <w:b/>
                <w:i/>
                <w:smallCaps/>
              </w:rPr>
            </w:pPr>
            <w:r>
              <w:rPr>
                <w:rFonts w:ascii="Calibri" w:hAnsi="Calibri" w:cs="Calibri"/>
                <w:sz w:val="22"/>
              </w:rPr>
              <w:t>138951211.2.6</w:t>
            </w:r>
          </w:p>
        </w:tc>
        <w:tc>
          <w:tcPr>
            <w:tcW w:w="2160" w:type="dxa"/>
            <w:gridSpan w:val="2"/>
          </w:tcPr>
          <w:p w:rsidR="00BA27A0" w:rsidRDefault="00BA27A0">
            <w:pPr>
              <w:spacing w:after="0" w:line="276" w:lineRule="auto"/>
              <w:jc w:val="center"/>
              <w:rPr>
                <w:rFonts w:ascii="Calibri" w:hAnsi="Calibri"/>
                <w:b/>
                <w:i/>
                <w:smallCaps/>
              </w:rPr>
            </w:pPr>
            <w:r>
              <w:rPr>
                <w:rFonts w:ascii="Calibri" w:hAnsi="Calibri" w:cs="Calibri"/>
                <w:sz w:val="22"/>
              </w:rPr>
              <w:t>2.11.2</w:t>
            </w:r>
          </w:p>
        </w:tc>
        <w:tc>
          <w:tcPr>
            <w:tcW w:w="2166" w:type="dxa"/>
          </w:tcPr>
          <w:p w:rsidR="00BA27A0" w:rsidRDefault="00BA27A0">
            <w:pPr>
              <w:spacing w:after="0" w:line="276" w:lineRule="auto"/>
              <w:jc w:val="center"/>
              <w:rPr>
                <w:rFonts w:ascii="Calibri" w:hAnsi="Calibri"/>
                <w:b/>
                <w:i/>
                <w:smallCaps/>
              </w:rPr>
            </w:pPr>
            <w:r>
              <w:rPr>
                <w:rFonts w:ascii="Calibri" w:hAnsi="Calibri" w:cs="Calibri"/>
                <w:sz w:val="22"/>
              </w:rPr>
              <w:t>2.11.2.A</w:t>
            </w:r>
          </w:p>
        </w:tc>
        <w:tc>
          <w:tcPr>
            <w:tcW w:w="7374" w:type="dxa"/>
            <w:gridSpan w:val="3"/>
            <w:vAlign w:val="center"/>
          </w:tcPr>
          <w:p w:rsidR="00BA27A0" w:rsidRDefault="00BA27A0">
            <w:pPr>
              <w:spacing w:after="0" w:line="276" w:lineRule="auto"/>
              <w:jc w:val="center"/>
              <w:rPr>
                <w:rFonts w:ascii="Calibri" w:hAnsi="Calibri"/>
                <w:b/>
                <w:i/>
                <w:smallCaps/>
              </w:rPr>
            </w:pPr>
            <w:r>
              <w:rPr>
                <w:rFonts w:ascii="Calibri" w:hAnsi="Calibri"/>
                <w:b/>
                <w:i/>
                <w:smallCaps/>
                <w:sz w:val="22"/>
              </w:rPr>
              <w:t>Conduct Medication Management</w:t>
            </w:r>
          </w:p>
        </w:tc>
      </w:tr>
      <w:tr w:rsidR="00BA27A0">
        <w:trPr>
          <w:trHeight w:val="257"/>
          <w:tblHeader/>
          <w:jc w:val="center"/>
        </w:trPr>
        <w:tc>
          <w:tcPr>
            <w:tcW w:w="10053" w:type="dxa"/>
            <w:gridSpan w:val="5"/>
          </w:tcPr>
          <w:p w:rsidR="00BA27A0" w:rsidRDefault="00BA27A0">
            <w:pPr>
              <w:spacing w:after="0" w:line="276" w:lineRule="auto"/>
              <w:jc w:val="center"/>
              <w:rPr>
                <w:rFonts w:ascii="Calibri" w:hAnsi="Calibri"/>
                <w:b/>
                <w:i/>
              </w:rPr>
            </w:pPr>
            <w:r>
              <w:rPr>
                <w:rFonts w:ascii="Calibri" w:hAnsi="Calibri"/>
                <w:b/>
                <w:i/>
                <w:sz w:val="22"/>
              </w:rPr>
              <w:t>University Medical Center of El Paso</w:t>
            </w:r>
          </w:p>
        </w:tc>
        <w:tc>
          <w:tcPr>
            <w:tcW w:w="4077" w:type="dxa"/>
            <w:gridSpan w:val="2"/>
          </w:tcPr>
          <w:p w:rsidR="00BA27A0" w:rsidRDefault="00BA27A0">
            <w:pPr>
              <w:spacing w:after="0" w:line="276" w:lineRule="auto"/>
              <w:jc w:val="center"/>
              <w:rPr>
                <w:rFonts w:ascii="Calibri" w:hAnsi="Calibri"/>
                <w:i/>
              </w:rPr>
            </w:pPr>
            <w:r>
              <w:rPr>
                <w:rFonts w:ascii="Calibri" w:hAnsi="Calibri" w:cs="Arial"/>
                <w:i/>
                <w:sz w:val="22"/>
              </w:rPr>
              <w:t>138951211</w:t>
            </w:r>
          </w:p>
        </w:tc>
      </w:tr>
      <w:tr w:rsidR="00BA27A0">
        <w:trPr>
          <w:trHeight w:val="257"/>
          <w:tblHeader/>
          <w:jc w:val="center"/>
        </w:trPr>
        <w:tc>
          <w:tcPr>
            <w:tcW w:w="2430" w:type="dxa"/>
          </w:tcPr>
          <w:p w:rsidR="00BA27A0" w:rsidRDefault="00BA27A0">
            <w:pPr>
              <w:spacing w:after="0" w:line="276" w:lineRule="auto"/>
              <w:jc w:val="center"/>
              <w:rPr>
                <w:rFonts w:ascii="Calibri" w:hAnsi="Calibri"/>
                <w:b/>
                <w:i/>
              </w:rPr>
            </w:pPr>
            <w:r>
              <w:rPr>
                <w:rFonts w:ascii="Calibri" w:hAnsi="Calibri"/>
                <w:b/>
                <w:i/>
                <w:sz w:val="22"/>
              </w:rPr>
              <w:t>Related Category 3 Outcome Measure(s):</w:t>
            </w:r>
          </w:p>
          <w:p w:rsidR="00BA27A0" w:rsidRDefault="00BA27A0">
            <w:pPr>
              <w:spacing w:after="120" w:line="276" w:lineRule="auto"/>
              <w:jc w:val="left"/>
              <w:rPr>
                <w:rFonts w:ascii="Calibri" w:hAnsi="Calibri" w:cs="Calibri"/>
              </w:rPr>
            </w:pPr>
            <w:r>
              <w:rPr>
                <w:rFonts w:ascii="Calibri" w:hAnsi="Calibri" w:cs="Calibri"/>
                <w:sz w:val="22"/>
              </w:rPr>
              <w:t>OD-11 Addressing Health Disparities in Minority Populations</w:t>
            </w:r>
          </w:p>
        </w:tc>
        <w:tc>
          <w:tcPr>
            <w:tcW w:w="2160" w:type="dxa"/>
            <w:gridSpan w:val="2"/>
          </w:tcPr>
          <w:p w:rsidR="00BA27A0" w:rsidRDefault="00BA27A0">
            <w:pPr>
              <w:spacing w:after="0" w:line="276" w:lineRule="auto"/>
              <w:jc w:val="center"/>
              <w:rPr>
                <w:rFonts w:ascii="Calibri" w:hAnsi="Calibri"/>
                <w:b/>
                <w:i/>
              </w:rPr>
            </w:pPr>
            <w:r>
              <w:rPr>
                <w:rFonts w:ascii="Calibri" w:hAnsi="Calibri"/>
                <w:b/>
                <w:i/>
                <w:sz w:val="22"/>
              </w:rPr>
              <w:t>IT-11.5 Select PPR for Coumadin Patients discharged to NHC; IT-3.12 Other 30 day Readmission Rate – Stroke and coronary artery disease</w:t>
            </w:r>
          </w:p>
        </w:tc>
        <w:tc>
          <w:tcPr>
            <w:tcW w:w="2166" w:type="dxa"/>
          </w:tcPr>
          <w:p w:rsidR="00BA27A0" w:rsidRDefault="00BA27A0">
            <w:pPr>
              <w:spacing w:after="0" w:line="276" w:lineRule="auto"/>
              <w:jc w:val="center"/>
              <w:rPr>
                <w:rFonts w:ascii="Calibri" w:hAnsi="Calibri"/>
                <w:i/>
              </w:rPr>
            </w:pPr>
            <w:r>
              <w:rPr>
                <w:rFonts w:ascii="Calibri" w:hAnsi="Calibri" w:cs="Calibri"/>
                <w:sz w:val="22"/>
              </w:rPr>
              <w:t>138951211.3.14</w:t>
            </w:r>
          </w:p>
        </w:tc>
        <w:tc>
          <w:tcPr>
            <w:tcW w:w="7374" w:type="dxa"/>
            <w:gridSpan w:val="3"/>
            <w:vAlign w:val="center"/>
          </w:tcPr>
          <w:p w:rsidR="00BA27A0" w:rsidRDefault="00BA27A0">
            <w:pPr>
              <w:spacing w:after="0" w:line="276" w:lineRule="auto"/>
              <w:jc w:val="center"/>
              <w:rPr>
                <w:rFonts w:ascii="Calibri" w:hAnsi="Calibri"/>
                <w:b/>
                <w:i/>
              </w:rPr>
            </w:pPr>
            <w:r>
              <w:rPr>
                <w:rFonts w:ascii="Calibri" w:hAnsi="Calibri"/>
                <w:b/>
                <w:i/>
                <w:sz w:val="22"/>
              </w:rPr>
              <w:t xml:space="preserve">Addressing Health Disparities in Minority Populations: </w:t>
            </w:r>
          </w:p>
          <w:p w:rsidR="00BA27A0" w:rsidRDefault="00BA27A0">
            <w:pPr>
              <w:spacing w:after="120" w:line="276" w:lineRule="auto"/>
              <w:jc w:val="left"/>
              <w:rPr>
                <w:rFonts w:ascii="Calibri" w:hAnsi="Calibri" w:cs="Calibri"/>
              </w:rPr>
            </w:pPr>
            <w:r>
              <w:rPr>
                <w:rFonts w:ascii="Calibri" w:hAnsi="Calibri" w:cs="Calibri"/>
                <w:sz w:val="22"/>
              </w:rPr>
              <w:t>IT-11.5 Select any other Category 3 outcome (PPAs, PPRs, or ED utilization) or a combination of non-standalone measures and target a specific minority population with a demonstrated disparity in the particular measure—IT.3.12 - Other readmission rate: coronary artery disease and stroke 30-day readmission rate for patient population receiving care from Coumadin clinics at neighborhood health centers (NHCs)</w:t>
            </w:r>
          </w:p>
        </w:tc>
      </w:tr>
      <w:tr w:rsidR="00BA27A0">
        <w:trPr>
          <w:trHeight w:val="575"/>
          <w:tblHeader/>
          <w:jc w:val="center"/>
        </w:trPr>
        <w:tc>
          <w:tcPr>
            <w:tcW w:w="3459" w:type="dxa"/>
            <w:gridSpan w:val="2"/>
            <w:shd w:val="clear" w:color="auto" w:fill="000000"/>
          </w:tcPr>
          <w:p w:rsidR="00BA27A0" w:rsidRDefault="00BA27A0">
            <w:pPr>
              <w:spacing w:after="0" w:line="276" w:lineRule="auto"/>
              <w:jc w:val="center"/>
              <w:rPr>
                <w:rFonts w:ascii="Calibri" w:hAnsi="Calibri"/>
                <w:b/>
                <w:color w:val="FFFFFF"/>
              </w:rPr>
            </w:pPr>
            <w:r>
              <w:rPr>
                <w:rFonts w:ascii="Calibri" w:hAnsi="Calibri"/>
                <w:b/>
                <w:color w:val="FFFFFF"/>
                <w:sz w:val="22"/>
              </w:rPr>
              <w:t>Year 2</w:t>
            </w:r>
          </w:p>
          <w:p w:rsidR="00BA27A0" w:rsidRDefault="00BA27A0">
            <w:pPr>
              <w:spacing w:after="0" w:line="276" w:lineRule="auto"/>
              <w:jc w:val="center"/>
              <w:rPr>
                <w:rFonts w:ascii="Calibri" w:hAnsi="Calibri"/>
                <w:b/>
                <w:color w:val="FFFFFF"/>
              </w:rPr>
            </w:pPr>
            <w:r>
              <w:rPr>
                <w:rFonts w:ascii="Calibri" w:hAnsi="Calibri"/>
                <w:b/>
                <w:color w:val="FFFFFF"/>
                <w:sz w:val="22"/>
              </w:rPr>
              <w:t xml:space="preserve"> (10/1/2012 – 9/30/2013)</w:t>
            </w:r>
          </w:p>
        </w:tc>
        <w:tc>
          <w:tcPr>
            <w:tcW w:w="3297" w:type="dxa"/>
            <w:gridSpan w:val="2"/>
            <w:shd w:val="clear" w:color="auto" w:fill="000000"/>
          </w:tcPr>
          <w:p w:rsidR="00BA27A0" w:rsidRDefault="00BA27A0">
            <w:pPr>
              <w:spacing w:after="0" w:line="276" w:lineRule="auto"/>
              <w:jc w:val="center"/>
              <w:rPr>
                <w:rFonts w:ascii="Calibri" w:hAnsi="Calibri"/>
                <w:b/>
                <w:color w:val="FFFFFF"/>
              </w:rPr>
            </w:pPr>
            <w:r>
              <w:rPr>
                <w:rFonts w:ascii="Calibri" w:hAnsi="Calibri"/>
                <w:b/>
                <w:color w:val="FFFFFF"/>
                <w:sz w:val="22"/>
              </w:rPr>
              <w:t xml:space="preserve">Year 3 </w:t>
            </w:r>
          </w:p>
          <w:p w:rsidR="00BA27A0" w:rsidRDefault="00BA27A0">
            <w:pPr>
              <w:spacing w:after="0" w:line="276" w:lineRule="auto"/>
              <w:jc w:val="center"/>
              <w:rPr>
                <w:rFonts w:ascii="Calibri" w:hAnsi="Calibri"/>
                <w:b/>
                <w:color w:val="FFFFFF"/>
              </w:rPr>
            </w:pPr>
            <w:r>
              <w:rPr>
                <w:rFonts w:ascii="Calibri" w:hAnsi="Calibri"/>
                <w:b/>
                <w:color w:val="FFFFFF"/>
                <w:sz w:val="22"/>
              </w:rPr>
              <w:t>(10/1/2013 – 9/30/2014)</w:t>
            </w:r>
          </w:p>
        </w:tc>
        <w:tc>
          <w:tcPr>
            <w:tcW w:w="3684" w:type="dxa"/>
            <w:gridSpan w:val="2"/>
            <w:shd w:val="clear" w:color="auto" w:fill="000000"/>
          </w:tcPr>
          <w:p w:rsidR="00BA27A0" w:rsidRDefault="00BA27A0">
            <w:pPr>
              <w:spacing w:after="0" w:line="276" w:lineRule="auto"/>
              <w:jc w:val="center"/>
              <w:rPr>
                <w:rFonts w:ascii="Calibri" w:hAnsi="Calibri"/>
                <w:b/>
                <w:color w:val="FFFFFF"/>
              </w:rPr>
            </w:pPr>
            <w:r>
              <w:rPr>
                <w:rFonts w:ascii="Calibri" w:hAnsi="Calibri"/>
                <w:b/>
                <w:color w:val="FFFFFF"/>
                <w:sz w:val="22"/>
              </w:rPr>
              <w:t>Year 4</w:t>
            </w:r>
          </w:p>
          <w:p w:rsidR="00BA27A0" w:rsidRDefault="00BA27A0">
            <w:pPr>
              <w:spacing w:after="0" w:line="276" w:lineRule="auto"/>
              <w:jc w:val="center"/>
              <w:rPr>
                <w:rFonts w:ascii="Calibri" w:hAnsi="Calibri"/>
                <w:b/>
                <w:color w:val="FFFFFF"/>
              </w:rPr>
            </w:pPr>
            <w:r>
              <w:rPr>
                <w:rFonts w:ascii="Calibri" w:hAnsi="Calibri"/>
                <w:b/>
                <w:color w:val="FFFFFF"/>
                <w:sz w:val="22"/>
              </w:rPr>
              <w:t>(10/1/2014 – 9/30/2015)</w:t>
            </w:r>
          </w:p>
        </w:tc>
        <w:tc>
          <w:tcPr>
            <w:tcW w:w="3690" w:type="dxa"/>
            <w:shd w:val="clear" w:color="auto" w:fill="000000"/>
          </w:tcPr>
          <w:p w:rsidR="00BA27A0" w:rsidRDefault="00BA27A0">
            <w:pPr>
              <w:spacing w:after="0" w:line="276" w:lineRule="auto"/>
              <w:jc w:val="center"/>
              <w:rPr>
                <w:rFonts w:ascii="Calibri" w:hAnsi="Calibri"/>
                <w:b/>
                <w:color w:val="FFFFFF"/>
              </w:rPr>
            </w:pPr>
            <w:r>
              <w:rPr>
                <w:rFonts w:ascii="Calibri" w:hAnsi="Calibri"/>
                <w:b/>
                <w:color w:val="FFFFFF"/>
                <w:sz w:val="22"/>
              </w:rPr>
              <w:t>Year 5</w:t>
            </w:r>
          </w:p>
          <w:p w:rsidR="00BA27A0" w:rsidRDefault="00BA27A0">
            <w:pPr>
              <w:spacing w:after="0" w:line="276" w:lineRule="auto"/>
              <w:jc w:val="center"/>
              <w:rPr>
                <w:rFonts w:ascii="Calibri" w:hAnsi="Calibri"/>
                <w:b/>
                <w:color w:val="FFFFFF"/>
              </w:rPr>
            </w:pPr>
            <w:r>
              <w:rPr>
                <w:rFonts w:ascii="Calibri" w:hAnsi="Calibri"/>
                <w:b/>
                <w:color w:val="FFFFFF"/>
                <w:sz w:val="22"/>
              </w:rPr>
              <w:t>(10/1/2015 – 9/30/2016)</w:t>
            </w:r>
          </w:p>
        </w:tc>
      </w:tr>
      <w:tr w:rsidR="00BA27A0">
        <w:trPr>
          <w:trHeight w:val="70"/>
          <w:jc w:val="center"/>
        </w:trPr>
        <w:tc>
          <w:tcPr>
            <w:tcW w:w="3459" w:type="dxa"/>
            <w:gridSpan w:val="2"/>
          </w:tcPr>
          <w:p w:rsidR="00BA27A0" w:rsidRDefault="00BA27A0">
            <w:pPr>
              <w:spacing w:after="0"/>
              <w:jc w:val="left"/>
              <w:rPr>
                <w:rFonts w:ascii="Calibri" w:hAnsi="Calibri" w:cs="Calibri"/>
                <w:b/>
                <w:color w:val="000000"/>
                <w:sz w:val="20"/>
                <w:szCs w:val="20"/>
              </w:rPr>
            </w:pPr>
          </w:p>
          <w:p w:rsidR="00BA27A0" w:rsidRDefault="00BA27A0">
            <w:pPr>
              <w:spacing w:after="0"/>
              <w:jc w:val="left"/>
              <w:rPr>
                <w:rFonts w:ascii="Calibri" w:hAnsi="Calibri" w:cs="Calibri"/>
                <w:color w:val="000000"/>
                <w:sz w:val="20"/>
                <w:szCs w:val="20"/>
              </w:rPr>
            </w:pPr>
            <w:r>
              <w:rPr>
                <w:rFonts w:ascii="Calibri" w:hAnsi="Calibri" w:cs="Calibri"/>
                <w:b/>
                <w:color w:val="000000"/>
                <w:sz w:val="20"/>
                <w:szCs w:val="20"/>
              </w:rPr>
              <w:t>Milestone 1</w:t>
            </w:r>
            <w:r>
              <w:rPr>
                <w:rFonts w:ascii="Calibri" w:hAnsi="Calibri" w:cs="Calibri"/>
                <w:color w:val="000000"/>
                <w:sz w:val="20"/>
                <w:szCs w:val="20"/>
              </w:rPr>
              <w:t xml:space="preserve"> [P-2]: D</w:t>
            </w:r>
            <w:r>
              <w:rPr>
                <w:rFonts w:ascii="Calibri" w:hAnsi="Calibri" w:cs="Calibri"/>
                <w:sz w:val="20"/>
                <w:szCs w:val="20"/>
              </w:rPr>
              <w:t>evelop criteria and identify targeted patient populations</w:t>
            </w:r>
            <w:r>
              <w:rPr>
                <w:rFonts w:ascii="Calibri" w:hAnsi="Calibri" w:cs="Calibri"/>
                <w:color w:val="000000"/>
                <w:sz w:val="20"/>
                <w:szCs w:val="20"/>
              </w:rPr>
              <w:t>.</w:t>
            </w:r>
          </w:p>
          <w:p w:rsidR="00BA27A0" w:rsidRDefault="00BA27A0">
            <w:pPr>
              <w:spacing w:after="0"/>
              <w:jc w:val="left"/>
              <w:rPr>
                <w:rFonts w:ascii="Calibri" w:hAnsi="Calibri" w:cs="Calibri"/>
                <w:color w:val="000000"/>
                <w:sz w:val="20"/>
                <w:szCs w:val="20"/>
              </w:rPr>
            </w:pPr>
          </w:p>
          <w:p w:rsidR="00BA27A0" w:rsidRDefault="00BA27A0">
            <w:pPr>
              <w:spacing w:after="0"/>
              <w:jc w:val="left"/>
              <w:rPr>
                <w:rFonts w:ascii="Calibri" w:hAnsi="Calibri" w:cs="Calibri"/>
                <w:color w:val="000000"/>
                <w:sz w:val="20"/>
                <w:szCs w:val="20"/>
              </w:rPr>
            </w:pPr>
            <w:r>
              <w:rPr>
                <w:rFonts w:ascii="Calibri" w:hAnsi="Calibri" w:cs="Calibri"/>
                <w:color w:val="000000"/>
                <w:sz w:val="20"/>
                <w:szCs w:val="20"/>
                <w:u w:val="single"/>
              </w:rPr>
              <w:t>Metric 1</w:t>
            </w:r>
            <w:r>
              <w:rPr>
                <w:rFonts w:ascii="Calibri" w:hAnsi="Calibri" w:cs="Calibri"/>
                <w:color w:val="000000"/>
                <w:sz w:val="20"/>
                <w:szCs w:val="20"/>
              </w:rPr>
              <w:t xml:space="preserve"> [P-2.1]: Establish evidence-based criteria for medication management planning in target population based on an assessment of population needs. </w:t>
            </w:r>
          </w:p>
          <w:p w:rsidR="00BA27A0" w:rsidRDefault="00BA27A0">
            <w:pPr>
              <w:spacing w:after="0"/>
              <w:ind w:left="252"/>
              <w:jc w:val="left"/>
              <w:rPr>
                <w:rFonts w:ascii="Calibri" w:hAnsi="Calibri" w:cs="Calibri"/>
                <w:color w:val="000000"/>
                <w:sz w:val="20"/>
                <w:szCs w:val="20"/>
              </w:rPr>
            </w:pPr>
            <w:r>
              <w:rPr>
                <w:rFonts w:ascii="Calibri" w:hAnsi="Calibri" w:cs="Calibri"/>
                <w:color w:val="000000"/>
                <w:sz w:val="20"/>
                <w:szCs w:val="20"/>
              </w:rPr>
              <w:t>Baseline/Goal: Establishment and documentation of criteria.</w:t>
            </w:r>
          </w:p>
          <w:p w:rsidR="00BA27A0" w:rsidRDefault="00BA27A0">
            <w:pPr>
              <w:spacing w:after="0"/>
              <w:ind w:left="252"/>
              <w:jc w:val="left"/>
              <w:rPr>
                <w:rFonts w:ascii="Calibri" w:hAnsi="Calibri" w:cs="Calibri"/>
                <w:color w:val="000000"/>
                <w:sz w:val="20"/>
                <w:szCs w:val="20"/>
              </w:rPr>
            </w:pPr>
            <w:r>
              <w:rPr>
                <w:rFonts w:ascii="Calibri" w:hAnsi="Calibri" w:cs="Calibri"/>
                <w:color w:val="000000"/>
                <w:sz w:val="20"/>
                <w:szCs w:val="20"/>
              </w:rPr>
              <w:t>Data Source: Written criterion for target population and program participation.</w:t>
            </w:r>
          </w:p>
          <w:p w:rsidR="00BA27A0" w:rsidRDefault="00BA27A0">
            <w:pPr>
              <w:spacing w:after="0"/>
              <w:jc w:val="left"/>
              <w:rPr>
                <w:rFonts w:ascii="Calibri" w:hAnsi="Calibri" w:cs="Calibri"/>
                <w:sz w:val="20"/>
                <w:szCs w:val="20"/>
              </w:rPr>
            </w:pPr>
          </w:p>
          <w:p w:rsidR="00BA27A0" w:rsidRDefault="00BA27A0">
            <w:pPr>
              <w:spacing w:after="0"/>
              <w:jc w:val="left"/>
              <w:rPr>
                <w:rFonts w:ascii="Calibri" w:hAnsi="Calibri" w:cs="Calibri"/>
                <w:sz w:val="20"/>
                <w:szCs w:val="20"/>
              </w:rPr>
            </w:pPr>
            <w:r>
              <w:rPr>
                <w:rFonts w:ascii="Calibri" w:hAnsi="Calibri" w:cs="Calibri"/>
                <w:sz w:val="20"/>
                <w:szCs w:val="20"/>
              </w:rPr>
              <w:t xml:space="preserve">Milestone 1 Estimated Incentive Payment: </w:t>
            </w:r>
            <w:r>
              <w:rPr>
                <w:rFonts w:ascii="Calibri" w:hAnsi="Calibri" w:cs="Calibri"/>
                <w:color w:val="000000"/>
                <w:sz w:val="20"/>
                <w:szCs w:val="20"/>
                <w:u w:val="single"/>
              </w:rPr>
              <w:t>$848,566</w:t>
            </w:r>
          </w:p>
          <w:p w:rsidR="00BA27A0" w:rsidRDefault="00BA27A0">
            <w:pPr>
              <w:spacing w:after="0"/>
              <w:jc w:val="left"/>
              <w:rPr>
                <w:rFonts w:ascii="Calibri" w:hAnsi="Calibri" w:cs="Calibri"/>
                <w:b/>
                <w:color w:val="000000"/>
                <w:sz w:val="20"/>
                <w:szCs w:val="20"/>
              </w:rPr>
            </w:pPr>
          </w:p>
          <w:p w:rsidR="00BA27A0" w:rsidRDefault="00BA27A0">
            <w:pPr>
              <w:autoSpaceDE w:val="0"/>
              <w:autoSpaceDN w:val="0"/>
              <w:adjustRightInd w:val="0"/>
              <w:spacing w:after="0"/>
              <w:jc w:val="left"/>
              <w:rPr>
                <w:rFonts w:ascii="Calibri" w:hAnsi="Calibri" w:cs="Arial"/>
                <w:sz w:val="20"/>
                <w:szCs w:val="20"/>
              </w:rPr>
            </w:pPr>
            <w:r>
              <w:rPr>
                <w:rFonts w:ascii="Calibri" w:hAnsi="Calibri" w:cs="Arial"/>
                <w:b/>
                <w:color w:val="000000"/>
                <w:sz w:val="20"/>
                <w:szCs w:val="20"/>
              </w:rPr>
              <w:t>Milestone 2</w:t>
            </w:r>
            <w:r>
              <w:rPr>
                <w:rFonts w:ascii="Calibri" w:hAnsi="Calibri" w:cs="Arial"/>
                <w:color w:val="000000"/>
                <w:sz w:val="20"/>
                <w:szCs w:val="20"/>
              </w:rPr>
              <w:t xml:space="preserve"> [P-4]: </w:t>
            </w:r>
            <w:r>
              <w:rPr>
                <w:rFonts w:ascii="Calibri" w:hAnsi="Calibri" w:cs="Arial"/>
                <w:sz w:val="20"/>
                <w:szCs w:val="20"/>
              </w:rPr>
              <w:t>Implement an evidence based program based on best practices for medication reconciliation to improve medication management and continuity between acute care and ambulatory setting at Ysleta</w:t>
            </w:r>
          </w:p>
          <w:p w:rsidR="00BA27A0" w:rsidRDefault="00BA27A0">
            <w:pPr>
              <w:autoSpaceDE w:val="0"/>
              <w:autoSpaceDN w:val="0"/>
              <w:adjustRightInd w:val="0"/>
              <w:spacing w:after="0"/>
              <w:jc w:val="left"/>
              <w:rPr>
                <w:rFonts w:ascii="Calibri" w:hAnsi="Calibri" w:cs="Arial"/>
                <w:sz w:val="20"/>
                <w:szCs w:val="20"/>
              </w:rPr>
            </w:pPr>
          </w:p>
          <w:p w:rsidR="00BA27A0" w:rsidRDefault="00BA27A0">
            <w:pPr>
              <w:autoSpaceDE w:val="0"/>
              <w:autoSpaceDN w:val="0"/>
              <w:adjustRightInd w:val="0"/>
              <w:spacing w:after="0"/>
              <w:jc w:val="left"/>
              <w:rPr>
                <w:rFonts w:ascii="Calibri" w:hAnsi="Calibri" w:cs="Arial"/>
                <w:i/>
                <w:sz w:val="20"/>
                <w:szCs w:val="20"/>
              </w:rPr>
            </w:pPr>
            <w:r>
              <w:rPr>
                <w:rFonts w:ascii="Calibri" w:hAnsi="Calibri" w:cs="Arial"/>
                <w:sz w:val="20"/>
                <w:szCs w:val="20"/>
                <w:u w:val="single"/>
              </w:rPr>
              <w:t>Metric 2</w:t>
            </w:r>
            <w:r>
              <w:rPr>
                <w:rFonts w:ascii="Calibri" w:hAnsi="Calibri" w:cs="Arial"/>
                <w:sz w:val="20"/>
                <w:szCs w:val="20"/>
              </w:rPr>
              <w:t xml:space="preserve"> [P-4.1]: Written plan to provide medication management and continuity between acute care and ambulatory setting</w:t>
            </w:r>
          </w:p>
          <w:p w:rsidR="00BA27A0" w:rsidRDefault="00BA27A0">
            <w:pPr>
              <w:autoSpaceDE w:val="0"/>
              <w:autoSpaceDN w:val="0"/>
              <w:adjustRightInd w:val="0"/>
              <w:spacing w:after="0"/>
              <w:jc w:val="left"/>
              <w:rPr>
                <w:rFonts w:ascii="Calibri" w:hAnsi="Calibri" w:cs="Calibri"/>
                <w:color w:val="000000"/>
                <w:sz w:val="20"/>
                <w:szCs w:val="20"/>
              </w:rPr>
            </w:pPr>
          </w:p>
          <w:p w:rsidR="00BA27A0" w:rsidRDefault="00BA27A0">
            <w:pPr>
              <w:autoSpaceDE w:val="0"/>
              <w:autoSpaceDN w:val="0"/>
              <w:adjustRightInd w:val="0"/>
              <w:spacing w:after="0"/>
              <w:jc w:val="left"/>
              <w:rPr>
                <w:rFonts w:ascii="Calibri" w:hAnsi="Calibri" w:cs="Calibri"/>
                <w:color w:val="000000"/>
                <w:sz w:val="20"/>
                <w:szCs w:val="20"/>
              </w:rPr>
            </w:pPr>
            <w:r>
              <w:rPr>
                <w:rFonts w:ascii="Calibri" w:hAnsi="Calibri" w:cs="Calibri"/>
                <w:color w:val="000000"/>
                <w:sz w:val="20"/>
                <w:szCs w:val="20"/>
              </w:rPr>
              <w:t xml:space="preserve">Milestone 2 Estimated Incentive Payment: </w:t>
            </w:r>
            <w:r>
              <w:rPr>
                <w:rFonts w:ascii="Calibri" w:hAnsi="Calibri" w:cs="Calibri"/>
                <w:color w:val="000000"/>
                <w:sz w:val="20"/>
                <w:szCs w:val="20"/>
                <w:u w:val="single"/>
              </w:rPr>
              <w:t>$848,566</w:t>
            </w:r>
          </w:p>
          <w:p w:rsidR="00BA27A0" w:rsidRDefault="00BA27A0">
            <w:pPr>
              <w:spacing w:after="0"/>
              <w:jc w:val="left"/>
              <w:rPr>
                <w:rFonts w:ascii="Calibri" w:hAnsi="Calibri" w:cs="Calibri"/>
                <w:b/>
                <w:color w:val="000000"/>
                <w:sz w:val="20"/>
                <w:szCs w:val="20"/>
              </w:rPr>
            </w:pPr>
          </w:p>
          <w:p w:rsidR="00BA27A0" w:rsidRDefault="00BA27A0">
            <w:pPr>
              <w:spacing w:after="0"/>
              <w:jc w:val="left"/>
              <w:rPr>
                <w:rFonts w:ascii="Calibri" w:hAnsi="Calibri" w:cs="Calibri"/>
                <w:color w:val="000000"/>
                <w:sz w:val="20"/>
                <w:szCs w:val="20"/>
              </w:rPr>
            </w:pPr>
            <w:r>
              <w:rPr>
                <w:rFonts w:ascii="Calibri" w:hAnsi="Calibri" w:cs="Calibri"/>
                <w:b/>
                <w:color w:val="000000"/>
                <w:sz w:val="20"/>
                <w:szCs w:val="20"/>
              </w:rPr>
              <w:t>Milestone 3</w:t>
            </w:r>
            <w:r>
              <w:rPr>
                <w:rFonts w:ascii="Calibri" w:hAnsi="Calibri" w:cs="Calibri"/>
                <w:color w:val="000000"/>
                <w:sz w:val="20"/>
                <w:szCs w:val="20"/>
              </w:rPr>
              <w:t xml:space="preserve"> [CQI P-8]: Participate in at least bi‐weekly interactions (meetings, conference calls, or webinars) with other providers and the RHP to promote collaborative learning around shared or similar projects.</w:t>
            </w:r>
          </w:p>
          <w:p w:rsidR="00BA27A0" w:rsidRDefault="00BA27A0">
            <w:pPr>
              <w:spacing w:after="0"/>
              <w:jc w:val="left"/>
              <w:rPr>
                <w:rFonts w:ascii="Calibri" w:hAnsi="Calibri" w:cs="Calibri"/>
                <w:color w:val="000000"/>
                <w:sz w:val="20"/>
                <w:szCs w:val="20"/>
              </w:rPr>
            </w:pPr>
          </w:p>
          <w:p w:rsidR="00BA27A0" w:rsidRDefault="00BA27A0">
            <w:pPr>
              <w:spacing w:after="0"/>
              <w:jc w:val="left"/>
              <w:rPr>
                <w:rFonts w:ascii="Calibri" w:hAnsi="Calibri" w:cs="Calibri"/>
                <w:color w:val="000000"/>
                <w:sz w:val="20"/>
                <w:szCs w:val="20"/>
              </w:rPr>
            </w:pPr>
            <w:r>
              <w:rPr>
                <w:rFonts w:ascii="Calibri" w:hAnsi="Calibri" w:cs="Calibri"/>
                <w:color w:val="000000"/>
                <w:sz w:val="20"/>
                <w:szCs w:val="20"/>
                <w:u w:val="single"/>
              </w:rPr>
              <w:t>Metric 3</w:t>
            </w:r>
            <w:r>
              <w:rPr>
                <w:rFonts w:ascii="Calibri" w:hAnsi="Calibri" w:cs="Calibri"/>
                <w:color w:val="000000"/>
                <w:sz w:val="20"/>
                <w:szCs w:val="20"/>
              </w:rPr>
              <w:t xml:space="preserve"> [P-8.1]: Number of bi-weekly meetings, conference calls, or webinars organized by the RHP that the provider participated in.</w:t>
            </w:r>
          </w:p>
          <w:p w:rsidR="00BA27A0" w:rsidRDefault="00BA27A0">
            <w:pPr>
              <w:spacing w:after="0"/>
              <w:jc w:val="left"/>
              <w:rPr>
                <w:rFonts w:ascii="Calibri" w:hAnsi="Calibri" w:cs="Calibri"/>
                <w:color w:val="000000"/>
                <w:sz w:val="20"/>
                <w:szCs w:val="20"/>
              </w:rPr>
            </w:pPr>
          </w:p>
          <w:p w:rsidR="00BA27A0" w:rsidRDefault="00BA27A0">
            <w:pPr>
              <w:spacing w:after="0"/>
              <w:jc w:val="left"/>
              <w:rPr>
                <w:rFonts w:ascii="Calibri" w:hAnsi="Calibri" w:cs="Calibri"/>
                <w:color w:val="000000"/>
                <w:sz w:val="20"/>
                <w:szCs w:val="20"/>
              </w:rPr>
            </w:pPr>
            <w:bookmarkStart w:id="0" w:name="_GoBack"/>
            <w:bookmarkEnd w:id="0"/>
          </w:p>
          <w:p w:rsidR="00BA27A0" w:rsidRDefault="00BA27A0">
            <w:pPr>
              <w:autoSpaceDE w:val="0"/>
              <w:autoSpaceDN w:val="0"/>
              <w:adjustRightInd w:val="0"/>
              <w:spacing w:after="0"/>
              <w:jc w:val="left"/>
              <w:rPr>
                <w:rFonts w:ascii="Calibri" w:hAnsi="Calibri" w:cs="Calibri"/>
                <w:color w:val="000000"/>
                <w:sz w:val="20"/>
                <w:szCs w:val="20"/>
              </w:rPr>
            </w:pPr>
            <w:r>
              <w:rPr>
                <w:rFonts w:ascii="Calibri" w:hAnsi="Calibri" w:cs="Calibri"/>
                <w:color w:val="000000"/>
                <w:sz w:val="20"/>
                <w:szCs w:val="20"/>
              </w:rPr>
              <w:t>Data Source: Documentation of weekly or bi-weekly phone meetings, conference calls, or webinars, including agendas for phone calls, slides from webinars, and/or meeting notes.</w:t>
            </w:r>
          </w:p>
          <w:p w:rsidR="00BA27A0" w:rsidRDefault="00BA27A0">
            <w:pPr>
              <w:autoSpaceDE w:val="0"/>
              <w:autoSpaceDN w:val="0"/>
              <w:adjustRightInd w:val="0"/>
              <w:spacing w:after="0"/>
              <w:jc w:val="left"/>
              <w:rPr>
                <w:rFonts w:ascii="Calibri" w:hAnsi="Calibri" w:cs="Calibri"/>
                <w:color w:val="000000"/>
                <w:sz w:val="20"/>
                <w:szCs w:val="20"/>
              </w:rPr>
            </w:pPr>
          </w:p>
          <w:p w:rsidR="00BA27A0" w:rsidRDefault="00BA27A0">
            <w:pPr>
              <w:autoSpaceDE w:val="0"/>
              <w:autoSpaceDN w:val="0"/>
              <w:adjustRightInd w:val="0"/>
              <w:spacing w:after="0"/>
              <w:jc w:val="left"/>
              <w:rPr>
                <w:rFonts w:ascii="Calibri" w:hAnsi="Calibri" w:cs="Calibri"/>
                <w:color w:val="000000"/>
                <w:sz w:val="20"/>
                <w:szCs w:val="20"/>
              </w:rPr>
            </w:pPr>
            <w:r>
              <w:rPr>
                <w:rFonts w:ascii="Calibri" w:hAnsi="Calibri" w:cs="Calibri"/>
                <w:color w:val="000000"/>
                <w:sz w:val="20"/>
                <w:szCs w:val="20"/>
              </w:rPr>
              <w:t xml:space="preserve">Milestone 3 Estimated Incentive Payment: </w:t>
            </w:r>
            <w:r>
              <w:rPr>
                <w:rFonts w:ascii="Calibri" w:hAnsi="Calibri" w:cs="Calibri"/>
                <w:color w:val="000000"/>
                <w:sz w:val="20"/>
                <w:szCs w:val="20"/>
                <w:u w:val="single"/>
              </w:rPr>
              <w:t>$848,566</w:t>
            </w:r>
          </w:p>
          <w:p w:rsidR="00BA27A0" w:rsidRDefault="00BA27A0">
            <w:pPr>
              <w:spacing w:after="0"/>
              <w:jc w:val="left"/>
              <w:rPr>
                <w:rFonts w:ascii="Calibri" w:hAnsi="Calibri" w:cs="Calibri"/>
                <w:bCs/>
                <w:color w:val="000000"/>
                <w:sz w:val="20"/>
                <w:szCs w:val="20"/>
              </w:rPr>
            </w:pPr>
          </w:p>
        </w:tc>
        <w:tc>
          <w:tcPr>
            <w:tcW w:w="3297" w:type="dxa"/>
            <w:gridSpan w:val="2"/>
          </w:tcPr>
          <w:p w:rsidR="00BA27A0" w:rsidRDefault="00BA27A0">
            <w:pPr>
              <w:spacing w:after="0"/>
              <w:jc w:val="left"/>
              <w:rPr>
                <w:rFonts w:ascii="Calibri" w:hAnsi="Calibri" w:cs="Calibri"/>
                <w:b/>
                <w:color w:val="000000"/>
                <w:sz w:val="20"/>
                <w:szCs w:val="20"/>
              </w:rPr>
            </w:pPr>
          </w:p>
          <w:p w:rsidR="00BA27A0" w:rsidRDefault="00BA27A0">
            <w:pPr>
              <w:autoSpaceDE w:val="0"/>
              <w:autoSpaceDN w:val="0"/>
              <w:adjustRightInd w:val="0"/>
              <w:spacing w:after="0"/>
              <w:jc w:val="left"/>
              <w:rPr>
                <w:rFonts w:ascii="Calibri" w:hAnsi="Calibri" w:cs="Arial"/>
                <w:sz w:val="20"/>
                <w:szCs w:val="20"/>
              </w:rPr>
            </w:pPr>
            <w:r>
              <w:rPr>
                <w:rFonts w:ascii="Calibri" w:hAnsi="Calibri" w:cs="Arial"/>
                <w:b/>
                <w:color w:val="000000"/>
                <w:sz w:val="20"/>
                <w:szCs w:val="20"/>
              </w:rPr>
              <w:t xml:space="preserve">Milestone 4 </w:t>
            </w:r>
            <w:r>
              <w:rPr>
                <w:rFonts w:ascii="Calibri" w:hAnsi="Calibri" w:cs="Arial"/>
                <w:color w:val="000000"/>
                <w:sz w:val="20"/>
                <w:szCs w:val="20"/>
              </w:rPr>
              <w:t xml:space="preserve">[P-4]: </w:t>
            </w:r>
            <w:r>
              <w:rPr>
                <w:rFonts w:ascii="Calibri" w:hAnsi="Calibri" w:cs="Arial"/>
                <w:sz w:val="20"/>
                <w:szCs w:val="20"/>
              </w:rPr>
              <w:t>Implement an evidence based program based on best practices for medication reconciliation to improve medication management and continuity between acute care and ambulatory setting at Fabens and Montwood</w:t>
            </w:r>
          </w:p>
          <w:p w:rsidR="00BA27A0" w:rsidRDefault="00BA27A0">
            <w:pPr>
              <w:autoSpaceDE w:val="0"/>
              <w:autoSpaceDN w:val="0"/>
              <w:adjustRightInd w:val="0"/>
              <w:spacing w:after="0"/>
              <w:jc w:val="left"/>
              <w:rPr>
                <w:rFonts w:ascii="Calibri" w:hAnsi="Calibri" w:cs="Arial"/>
                <w:sz w:val="20"/>
                <w:szCs w:val="20"/>
              </w:rPr>
            </w:pPr>
          </w:p>
          <w:p w:rsidR="00BA27A0" w:rsidRDefault="00BA27A0">
            <w:pPr>
              <w:spacing w:after="0"/>
              <w:jc w:val="left"/>
              <w:rPr>
                <w:rFonts w:ascii="Calibri" w:hAnsi="Calibri" w:cs="Arial"/>
                <w:sz w:val="20"/>
                <w:szCs w:val="20"/>
              </w:rPr>
            </w:pPr>
            <w:r>
              <w:rPr>
                <w:rFonts w:ascii="Calibri" w:hAnsi="Calibri" w:cs="Arial"/>
                <w:sz w:val="20"/>
                <w:szCs w:val="20"/>
                <w:u w:val="single"/>
              </w:rPr>
              <w:t>Metric 4</w:t>
            </w:r>
            <w:r>
              <w:rPr>
                <w:rFonts w:ascii="Calibri" w:hAnsi="Calibri" w:cs="Arial"/>
                <w:sz w:val="20"/>
                <w:szCs w:val="20"/>
              </w:rPr>
              <w:t xml:space="preserve"> [P-4.1]: Written plan to provide medication management and continuity between acute care and ambulatory setting</w:t>
            </w:r>
          </w:p>
          <w:p w:rsidR="00BA27A0" w:rsidRDefault="00BA27A0">
            <w:pPr>
              <w:spacing w:after="0"/>
              <w:jc w:val="left"/>
              <w:rPr>
                <w:rFonts w:ascii="Calibri" w:hAnsi="Calibri" w:cs="Arial"/>
                <w:sz w:val="20"/>
                <w:szCs w:val="20"/>
              </w:rPr>
            </w:pPr>
          </w:p>
          <w:p w:rsidR="00BA27A0" w:rsidRDefault="00BA27A0">
            <w:pPr>
              <w:spacing w:after="0"/>
              <w:jc w:val="left"/>
              <w:rPr>
                <w:rFonts w:ascii="Calibri" w:hAnsi="Calibri" w:cs="Arial"/>
                <w:sz w:val="20"/>
                <w:szCs w:val="20"/>
              </w:rPr>
            </w:pPr>
            <w:r>
              <w:rPr>
                <w:rFonts w:ascii="Calibri" w:hAnsi="Calibri" w:cs="Arial"/>
                <w:sz w:val="20"/>
                <w:szCs w:val="20"/>
              </w:rPr>
              <w:t>Baseline/Goal:  New program for electronic medication reconciliation.</w:t>
            </w:r>
          </w:p>
          <w:p w:rsidR="00BA27A0" w:rsidRDefault="00BA27A0">
            <w:pPr>
              <w:spacing w:after="0"/>
              <w:jc w:val="left"/>
              <w:rPr>
                <w:rFonts w:ascii="Calibri" w:hAnsi="Calibri" w:cs="Arial"/>
                <w:sz w:val="20"/>
                <w:szCs w:val="20"/>
              </w:rPr>
            </w:pPr>
          </w:p>
          <w:p w:rsidR="00BA27A0" w:rsidRDefault="00BA27A0">
            <w:pPr>
              <w:spacing w:after="0"/>
              <w:jc w:val="left"/>
              <w:rPr>
                <w:rFonts w:ascii="Calibri" w:hAnsi="Calibri" w:cs="Calibri"/>
                <w:sz w:val="20"/>
                <w:szCs w:val="20"/>
              </w:rPr>
            </w:pPr>
            <w:r>
              <w:rPr>
                <w:rFonts w:ascii="Calibri" w:hAnsi="Calibri" w:cs="Calibri"/>
                <w:sz w:val="20"/>
                <w:szCs w:val="20"/>
              </w:rPr>
              <w:t xml:space="preserve">Milestone 4 Estimated Incentive Payment: </w:t>
            </w:r>
            <w:r>
              <w:rPr>
                <w:rFonts w:ascii="Calibri" w:hAnsi="Calibri" w:cs="Calibri"/>
                <w:color w:val="000000"/>
                <w:sz w:val="20"/>
                <w:szCs w:val="20"/>
                <w:u w:val="single"/>
              </w:rPr>
              <w:t>$1,388,610</w:t>
            </w:r>
          </w:p>
          <w:p w:rsidR="00BA27A0" w:rsidRDefault="00BA27A0">
            <w:pPr>
              <w:spacing w:after="0"/>
              <w:jc w:val="left"/>
              <w:rPr>
                <w:rFonts w:ascii="Calibri" w:hAnsi="Calibri" w:cs="Calibri"/>
                <w:b/>
                <w:color w:val="000000"/>
                <w:sz w:val="20"/>
                <w:szCs w:val="20"/>
              </w:rPr>
            </w:pPr>
          </w:p>
          <w:p w:rsidR="00BA27A0" w:rsidRDefault="00BA27A0">
            <w:pPr>
              <w:spacing w:after="0"/>
              <w:jc w:val="left"/>
              <w:rPr>
                <w:rFonts w:ascii="Calibri" w:hAnsi="Calibri" w:cs="Calibri"/>
                <w:color w:val="000000"/>
                <w:sz w:val="20"/>
                <w:szCs w:val="20"/>
              </w:rPr>
            </w:pPr>
            <w:r>
              <w:rPr>
                <w:rFonts w:ascii="Calibri" w:hAnsi="Calibri" w:cs="Calibri"/>
                <w:b/>
                <w:color w:val="000000"/>
                <w:sz w:val="20"/>
                <w:szCs w:val="20"/>
              </w:rPr>
              <w:t>Milestone 5</w:t>
            </w:r>
            <w:r>
              <w:rPr>
                <w:rFonts w:ascii="Calibri" w:hAnsi="Calibri" w:cs="Calibri"/>
                <w:color w:val="000000"/>
                <w:sz w:val="20"/>
                <w:szCs w:val="20"/>
              </w:rPr>
              <w:t xml:space="preserve"> [CQI P-8]: Participate in at least bi‐weekly interactions (meetings, conference calls, or webinars) with other providers and the RHP to promote collaborative learning around shared or similar projects.</w:t>
            </w:r>
          </w:p>
          <w:p w:rsidR="00BA27A0" w:rsidRDefault="00BA27A0">
            <w:pPr>
              <w:spacing w:after="0"/>
              <w:jc w:val="left"/>
              <w:rPr>
                <w:rFonts w:ascii="Calibri" w:hAnsi="Calibri" w:cs="Calibri"/>
                <w:color w:val="000000"/>
                <w:sz w:val="20"/>
                <w:szCs w:val="20"/>
              </w:rPr>
            </w:pPr>
          </w:p>
          <w:p w:rsidR="00BA27A0" w:rsidRDefault="00BA27A0">
            <w:pPr>
              <w:spacing w:after="0"/>
              <w:jc w:val="left"/>
              <w:rPr>
                <w:rFonts w:ascii="Calibri" w:hAnsi="Calibri" w:cs="Calibri"/>
                <w:color w:val="000000"/>
                <w:sz w:val="20"/>
                <w:szCs w:val="20"/>
              </w:rPr>
            </w:pPr>
            <w:r>
              <w:rPr>
                <w:rFonts w:ascii="Calibri" w:hAnsi="Calibri" w:cs="Calibri"/>
                <w:color w:val="000000"/>
                <w:sz w:val="20"/>
                <w:szCs w:val="20"/>
                <w:u w:val="single"/>
              </w:rPr>
              <w:t>Metric 5</w:t>
            </w:r>
            <w:r>
              <w:rPr>
                <w:rFonts w:ascii="Calibri" w:hAnsi="Calibri" w:cs="Calibri"/>
                <w:color w:val="000000"/>
                <w:sz w:val="20"/>
                <w:szCs w:val="20"/>
              </w:rPr>
              <w:t xml:space="preserve"> [P-8.1]: Number of bi-weekly meetings, conference calls, or webinars organized by the RHP that the provider participated in.</w:t>
            </w:r>
          </w:p>
          <w:p w:rsidR="00BA27A0" w:rsidRDefault="00BA27A0">
            <w:pPr>
              <w:autoSpaceDE w:val="0"/>
              <w:autoSpaceDN w:val="0"/>
              <w:adjustRightInd w:val="0"/>
              <w:spacing w:after="0"/>
              <w:ind w:left="252"/>
              <w:jc w:val="left"/>
              <w:rPr>
                <w:rFonts w:ascii="Calibri" w:hAnsi="Calibri" w:cs="Calibri"/>
                <w:color w:val="000000"/>
                <w:sz w:val="20"/>
                <w:szCs w:val="20"/>
              </w:rPr>
            </w:pPr>
          </w:p>
          <w:p w:rsidR="00BA27A0" w:rsidRDefault="00BA27A0">
            <w:pPr>
              <w:autoSpaceDE w:val="0"/>
              <w:autoSpaceDN w:val="0"/>
              <w:adjustRightInd w:val="0"/>
              <w:spacing w:after="0"/>
              <w:jc w:val="left"/>
              <w:rPr>
                <w:rFonts w:ascii="Calibri" w:hAnsi="Calibri" w:cs="Calibri"/>
                <w:color w:val="000000"/>
                <w:sz w:val="20"/>
                <w:szCs w:val="20"/>
              </w:rPr>
            </w:pPr>
            <w:r>
              <w:rPr>
                <w:rFonts w:ascii="Calibri" w:hAnsi="Calibri" w:cs="Calibri"/>
                <w:color w:val="000000"/>
                <w:sz w:val="20"/>
                <w:szCs w:val="20"/>
              </w:rPr>
              <w:t>Data Source: Documentation of weekly or bi-weekly phone meetings, conference calls, or webinars, including agendas for phone calls, slides from webinars, and/or meeting notes.</w:t>
            </w:r>
          </w:p>
          <w:p w:rsidR="00BA27A0" w:rsidRDefault="00BA27A0">
            <w:pPr>
              <w:autoSpaceDE w:val="0"/>
              <w:autoSpaceDN w:val="0"/>
              <w:adjustRightInd w:val="0"/>
              <w:spacing w:after="0"/>
              <w:jc w:val="left"/>
              <w:rPr>
                <w:rFonts w:ascii="Calibri" w:hAnsi="Calibri" w:cs="Calibri"/>
                <w:color w:val="000000"/>
                <w:sz w:val="20"/>
                <w:szCs w:val="20"/>
              </w:rPr>
            </w:pPr>
          </w:p>
          <w:p w:rsidR="00BA27A0" w:rsidRDefault="00BA27A0">
            <w:pPr>
              <w:autoSpaceDE w:val="0"/>
              <w:autoSpaceDN w:val="0"/>
              <w:adjustRightInd w:val="0"/>
              <w:spacing w:after="0"/>
              <w:jc w:val="left"/>
              <w:rPr>
                <w:rFonts w:ascii="Calibri" w:hAnsi="Calibri" w:cs="Calibri"/>
                <w:color w:val="000000"/>
                <w:sz w:val="20"/>
                <w:szCs w:val="20"/>
              </w:rPr>
            </w:pPr>
            <w:r>
              <w:rPr>
                <w:rFonts w:ascii="Calibri" w:hAnsi="Calibri" w:cs="Calibri"/>
                <w:color w:val="000000"/>
                <w:sz w:val="20"/>
                <w:szCs w:val="20"/>
              </w:rPr>
              <w:t xml:space="preserve">Milestone 5 Estimated Incentive Payment: </w:t>
            </w:r>
            <w:r>
              <w:rPr>
                <w:rFonts w:ascii="Calibri" w:hAnsi="Calibri" w:cs="Calibri"/>
                <w:color w:val="000000"/>
                <w:sz w:val="20"/>
                <w:szCs w:val="20"/>
                <w:u w:val="single"/>
              </w:rPr>
              <w:t>$1,388,610</w:t>
            </w:r>
          </w:p>
          <w:p w:rsidR="00BA27A0" w:rsidRDefault="00BA27A0">
            <w:pPr>
              <w:spacing w:after="0"/>
              <w:jc w:val="left"/>
              <w:rPr>
                <w:rFonts w:ascii="Calibri" w:hAnsi="Calibri" w:cs="Calibri"/>
                <w:bCs/>
                <w:color w:val="000000"/>
                <w:sz w:val="20"/>
                <w:szCs w:val="20"/>
              </w:rPr>
            </w:pPr>
          </w:p>
        </w:tc>
        <w:tc>
          <w:tcPr>
            <w:tcW w:w="3684" w:type="dxa"/>
            <w:gridSpan w:val="2"/>
          </w:tcPr>
          <w:p w:rsidR="00BA27A0" w:rsidRDefault="00BA27A0">
            <w:pPr>
              <w:spacing w:after="0"/>
              <w:jc w:val="left"/>
              <w:rPr>
                <w:rFonts w:ascii="Calibri" w:hAnsi="Calibri" w:cs="Calibri"/>
                <w:b/>
                <w:sz w:val="20"/>
                <w:szCs w:val="20"/>
              </w:rPr>
            </w:pPr>
          </w:p>
          <w:p w:rsidR="00BA27A0" w:rsidRDefault="00BA27A0">
            <w:pPr>
              <w:spacing w:after="0"/>
              <w:jc w:val="left"/>
              <w:rPr>
                <w:rFonts w:ascii="Calibri" w:hAnsi="Calibri" w:cs="Calibri"/>
                <w:sz w:val="20"/>
                <w:szCs w:val="20"/>
              </w:rPr>
            </w:pPr>
            <w:r>
              <w:rPr>
                <w:rFonts w:ascii="Calibri" w:hAnsi="Calibri" w:cs="Calibri"/>
                <w:b/>
                <w:sz w:val="20"/>
                <w:szCs w:val="20"/>
              </w:rPr>
              <w:t>Milestone 6</w:t>
            </w:r>
            <w:r>
              <w:rPr>
                <w:rFonts w:ascii="Calibri" w:hAnsi="Calibri" w:cs="Calibri"/>
                <w:sz w:val="20"/>
                <w:szCs w:val="20"/>
              </w:rPr>
              <w:t xml:space="preserve"> [I-11]: Increase the number of patients receiving medication management from acute care to the ambulatory setting.</w:t>
            </w:r>
          </w:p>
          <w:p w:rsidR="00BA27A0" w:rsidRDefault="00BA27A0">
            <w:pPr>
              <w:spacing w:after="0"/>
              <w:jc w:val="left"/>
              <w:rPr>
                <w:rFonts w:ascii="Calibri" w:hAnsi="Calibri" w:cs="Calibri"/>
                <w:sz w:val="20"/>
                <w:szCs w:val="20"/>
              </w:rPr>
            </w:pPr>
          </w:p>
          <w:p w:rsidR="00BA27A0" w:rsidRDefault="00BA27A0">
            <w:pPr>
              <w:spacing w:after="0"/>
              <w:jc w:val="left"/>
              <w:rPr>
                <w:rFonts w:ascii="Calibri" w:hAnsi="Calibri" w:cs="Calibri"/>
                <w:sz w:val="20"/>
                <w:szCs w:val="20"/>
              </w:rPr>
            </w:pPr>
            <w:r>
              <w:rPr>
                <w:rFonts w:ascii="Calibri" w:hAnsi="Calibri" w:cs="Calibri"/>
                <w:sz w:val="20"/>
                <w:szCs w:val="20"/>
                <w:u w:val="single"/>
              </w:rPr>
              <w:t>Metric 6</w:t>
            </w:r>
            <w:r>
              <w:rPr>
                <w:rFonts w:ascii="Calibri" w:hAnsi="Calibri" w:cs="Calibri"/>
                <w:sz w:val="20"/>
                <w:szCs w:val="20"/>
              </w:rPr>
              <w:t xml:space="preserve"> [I-11.1]: Percent of discharged patients who received medication reconciliation as part of the transition from acute to ambulatory care.</w:t>
            </w:r>
          </w:p>
          <w:p w:rsidR="00BA27A0" w:rsidRDefault="00BA27A0">
            <w:pPr>
              <w:spacing w:after="0"/>
              <w:jc w:val="left"/>
              <w:rPr>
                <w:rFonts w:ascii="Calibri" w:hAnsi="Calibri" w:cs="Calibri"/>
                <w:sz w:val="20"/>
                <w:szCs w:val="20"/>
              </w:rPr>
            </w:pPr>
            <w:r>
              <w:rPr>
                <w:rFonts w:ascii="Calibri" w:hAnsi="Calibri" w:cs="Calibri"/>
                <w:sz w:val="20"/>
                <w:szCs w:val="20"/>
              </w:rPr>
              <w:t>Numerator:  Number of discharged Coumadin patients who received medication reconciliation at NHC.</w:t>
            </w:r>
          </w:p>
          <w:p w:rsidR="00BA27A0" w:rsidRDefault="00BA27A0">
            <w:pPr>
              <w:spacing w:after="0"/>
              <w:jc w:val="left"/>
              <w:rPr>
                <w:rFonts w:ascii="Calibri" w:hAnsi="Calibri" w:cs="Calibri"/>
                <w:sz w:val="20"/>
                <w:szCs w:val="20"/>
              </w:rPr>
            </w:pPr>
            <w:r>
              <w:rPr>
                <w:rFonts w:ascii="Calibri" w:hAnsi="Calibri" w:cs="Calibri"/>
                <w:sz w:val="20"/>
                <w:szCs w:val="20"/>
              </w:rPr>
              <w:t>Denominator: Number of Discharged Coumadin Patients received at NHC</w:t>
            </w:r>
          </w:p>
          <w:p w:rsidR="00BA27A0" w:rsidRDefault="00BA27A0">
            <w:pPr>
              <w:spacing w:after="0"/>
              <w:jc w:val="left"/>
              <w:rPr>
                <w:rFonts w:ascii="Calibri" w:hAnsi="Calibri" w:cs="Calibri"/>
                <w:sz w:val="20"/>
                <w:szCs w:val="20"/>
              </w:rPr>
            </w:pPr>
          </w:p>
          <w:p w:rsidR="00BA27A0" w:rsidRDefault="00BA27A0">
            <w:pPr>
              <w:spacing w:after="0"/>
              <w:jc w:val="left"/>
              <w:rPr>
                <w:rFonts w:ascii="Calibri" w:hAnsi="Calibri" w:cs="Calibri"/>
                <w:sz w:val="20"/>
                <w:szCs w:val="20"/>
              </w:rPr>
            </w:pPr>
            <w:r>
              <w:rPr>
                <w:rFonts w:ascii="Calibri" w:hAnsi="Calibri" w:cs="Calibri"/>
                <w:sz w:val="20"/>
                <w:szCs w:val="20"/>
              </w:rPr>
              <w:t>Baseline/Goal:  25% of Coumadin patients with electronic medication reconciliation implemented</w:t>
            </w:r>
          </w:p>
          <w:p w:rsidR="00BA27A0" w:rsidRDefault="00BA27A0">
            <w:pPr>
              <w:spacing w:after="0"/>
              <w:jc w:val="left"/>
              <w:rPr>
                <w:rFonts w:ascii="Calibri" w:hAnsi="Calibri" w:cs="Calibri"/>
                <w:color w:val="000000"/>
                <w:sz w:val="20"/>
                <w:szCs w:val="20"/>
              </w:rPr>
            </w:pPr>
          </w:p>
          <w:p w:rsidR="00BA27A0" w:rsidRDefault="00BA27A0">
            <w:pPr>
              <w:spacing w:after="0"/>
              <w:jc w:val="left"/>
              <w:rPr>
                <w:rFonts w:ascii="Calibri" w:hAnsi="Calibri" w:cs="Calibri"/>
                <w:color w:val="000000"/>
                <w:sz w:val="20"/>
                <w:szCs w:val="20"/>
              </w:rPr>
            </w:pPr>
            <w:r>
              <w:rPr>
                <w:rFonts w:ascii="Calibri" w:hAnsi="Calibri" w:cs="Calibri"/>
                <w:color w:val="000000"/>
                <w:sz w:val="20"/>
                <w:szCs w:val="20"/>
              </w:rPr>
              <w:t>Data Source: EHR; discharge data.</w:t>
            </w:r>
          </w:p>
          <w:p w:rsidR="00BA27A0" w:rsidRDefault="00BA27A0">
            <w:pPr>
              <w:spacing w:after="0"/>
              <w:jc w:val="left"/>
              <w:rPr>
                <w:rFonts w:ascii="Calibri" w:hAnsi="Calibri" w:cs="Calibri"/>
                <w:sz w:val="20"/>
                <w:szCs w:val="20"/>
              </w:rPr>
            </w:pPr>
          </w:p>
          <w:p w:rsidR="00BA27A0" w:rsidRDefault="00BA27A0">
            <w:pPr>
              <w:spacing w:after="0"/>
              <w:jc w:val="left"/>
              <w:rPr>
                <w:rFonts w:ascii="Calibri" w:hAnsi="Calibri" w:cs="Calibri"/>
                <w:sz w:val="20"/>
                <w:szCs w:val="20"/>
              </w:rPr>
            </w:pPr>
            <w:r>
              <w:rPr>
                <w:rFonts w:ascii="Calibri" w:hAnsi="Calibri" w:cs="Calibri"/>
                <w:sz w:val="20"/>
                <w:szCs w:val="20"/>
              </w:rPr>
              <w:t xml:space="preserve">Milestone 6 Estimated Incentive Payment: </w:t>
            </w:r>
            <w:r>
              <w:rPr>
                <w:rFonts w:ascii="Calibri" w:hAnsi="Calibri" w:cs="Calibri"/>
                <w:sz w:val="20"/>
                <w:szCs w:val="20"/>
                <w:u w:val="single"/>
              </w:rPr>
              <w:t>$1,392,647</w:t>
            </w:r>
          </w:p>
          <w:p w:rsidR="00BA27A0" w:rsidRDefault="00BA27A0">
            <w:pPr>
              <w:spacing w:after="0"/>
              <w:jc w:val="left"/>
              <w:rPr>
                <w:rFonts w:ascii="Calibri" w:hAnsi="Calibri" w:cs="Calibri"/>
                <w:sz w:val="20"/>
                <w:szCs w:val="20"/>
              </w:rPr>
            </w:pPr>
          </w:p>
          <w:p w:rsidR="00BA27A0" w:rsidRDefault="00BA27A0">
            <w:pPr>
              <w:spacing w:after="0"/>
              <w:jc w:val="left"/>
              <w:rPr>
                <w:rFonts w:ascii="Calibri" w:hAnsi="Calibri" w:cs="Calibri"/>
                <w:sz w:val="20"/>
                <w:szCs w:val="20"/>
              </w:rPr>
            </w:pPr>
            <w:r>
              <w:rPr>
                <w:rFonts w:ascii="Calibri" w:hAnsi="Calibri" w:cs="Calibri"/>
                <w:b/>
                <w:sz w:val="20"/>
                <w:szCs w:val="20"/>
              </w:rPr>
              <w:t>Milestone 7</w:t>
            </w:r>
            <w:r>
              <w:rPr>
                <w:rFonts w:ascii="Calibri" w:hAnsi="Calibri" w:cs="Calibri"/>
                <w:sz w:val="20"/>
                <w:szCs w:val="20"/>
              </w:rPr>
              <w:t xml:space="preserve"> [I-12]: Implement electronic prescription writing at the point of care.</w:t>
            </w:r>
          </w:p>
          <w:p w:rsidR="00BA27A0" w:rsidRDefault="00BA27A0">
            <w:pPr>
              <w:spacing w:after="0"/>
              <w:jc w:val="left"/>
              <w:rPr>
                <w:rFonts w:ascii="Calibri" w:hAnsi="Calibri" w:cs="Calibri"/>
                <w:sz w:val="20"/>
                <w:szCs w:val="20"/>
              </w:rPr>
            </w:pPr>
          </w:p>
          <w:p w:rsidR="00BA27A0" w:rsidRDefault="00BA27A0">
            <w:pPr>
              <w:spacing w:after="0"/>
              <w:jc w:val="left"/>
              <w:rPr>
                <w:rFonts w:ascii="Calibri" w:hAnsi="Calibri" w:cs="Calibri"/>
                <w:b/>
                <w:sz w:val="20"/>
                <w:szCs w:val="20"/>
              </w:rPr>
            </w:pPr>
            <w:r>
              <w:rPr>
                <w:rFonts w:ascii="Calibri" w:hAnsi="Calibri" w:cs="Calibri"/>
                <w:sz w:val="20"/>
                <w:szCs w:val="20"/>
                <w:u w:val="single"/>
              </w:rPr>
              <w:t>Metric 7</w:t>
            </w:r>
            <w:r>
              <w:rPr>
                <w:rFonts w:ascii="Calibri" w:hAnsi="Calibri" w:cs="Calibri"/>
                <w:sz w:val="20"/>
                <w:szCs w:val="20"/>
              </w:rPr>
              <w:t xml:space="preserve"> [I-12.1]: Increase the number of new and refill prescriptions written and generated electronically.</w:t>
            </w:r>
          </w:p>
          <w:p w:rsidR="00BA27A0" w:rsidRDefault="00BA27A0">
            <w:pPr>
              <w:spacing w:after="0"/>
              <w:jc w:val="left"/>
              <w:rPr>
                <w:rFonts w:ascii="Calibri" w:hAnsi="Calibri" w:cs="Calibri"/>
                <w:color w:val="000000"/>
                <w:sz w:val="20"/>
                <w:szCs w:val="20"/>
              </w:rPr>
            </w:pPr>
            <w:r>
              <w:rPr>
                <w:rFonts w:ascii="Calibri" w:hAnsi="Calibri" w:cs="Calibri"/>
                <w:color w:val="000000"/>
                <w:sz w:val="20"/>
                <w:szCs w:val="20"/>
              </w:rPr>
              <w:t>Numerator:  Number of new and refill prescriptions written and generated electronically</w:t>
            </w:r>
          </w:p>
          <w:p w:rsidR="00BA27A0" w:rsidRDefault="00BA27A0">
            <w:pPr>
              <w:spacing w:after="0"/>
              <w:jc w:val="left"/>
              <w:rPr>
                <w:rFonts w:ascii="Calibri" w:hAnsi="Calibri" w:cs="Calibri"/>
                <w:color w:val="000000"/>
                <w:sz w:val="20"/>
                <w:szCs w:val="20"/>
              </w:rPr>
            </w:pPr>
            <w:r>
              <w:rPr>
                <w:rFonts w:ascii="Calibri" w:hAnsi="Calibri" w:cs="Calibri"/>
                <w:color w:val="000000"/>
                <w:sz w:val="20"/>
                <w:szCs w:val="20"/>
              </w:rPr>
              <w:t>Denominator:  Number of new and refill prescriptions written in a specified time period.</w:t>
            </w:r>
          </w:p>
          <w:p w:rsidR="00BA27A0" w:rsidRDefault="00BA27A0">
            <w:pPr>
              <w:spacing w:after="0"/>
              <w:jc w:val="left"/>
              <w:rPr>
                <w:rFonts w:ascii="Calibri" w:hAnsi="Calibri" w:cs="Calibri"/>
                <w:color w:val="000000"/>
                <w:sz w:val="20"/>
                <w:szCs w:val="20"/>
              </w:rPr>
            </w:pPr>
            <w:r>
              <w:rPr>
                <w:rFonts w:ascii="Calibri" w:hAnsi="Calibri" w:cs="Calibri"/>
                <w:color w:val="000000"/>
                <w:sz w:val="20"/>
                <w:szCs w:val="20"/>
              </w:rPr>
              <w:t>Baseline:  Approximately 780 Coumadin patients at NHCs who have 2.5 Rx’s each=1900 Rx.</w:t>
            </w:r>
          </w:p>
          <w:p w:rsidR="00BA27A0" w:rsidRDefault="00BA27A0">
            <w:pPr>
              <w:spacing w:after="0"/>
              <w:jc w:val="left"/>
              <w:rPr>
                <w:rFonts w:ascii="Calibri" w:hAnsi="Calibri" w:cs="Calibri"/>
                <w:color w:val="000000"/>
                <w:sz w:val="20"/>
                <w:szCs w:val="20"/>
              </w:rPr>
            </w:pPr>
            <w:r>
              <w:rPr>
                <w:rFonts w:ascii="Calibri" w:hAnsi="Calibri" w:cs="Calibri"/>
                <w:color w:val="000000"/>
                <w:sz w:val="20"/>
                <w:szCs w:val="20"/>
              </w:rPr>
              <w:t>Baseline time period:  Implementation of electronic prescription writing at the point of care.  25% of Coumadin patient records implemented = 195</w:t>
            </w:r>
          </w:p>
          <w:p w:rsidR="00BA27A0" w:rsidRDefault="00BA27A0">
            <w:pPr>
              <w:spacing w:after="0"/>
              <w:jc w:val="left"/>
              <w:rPr>
                <w:rFonts w:ascii="Calibri" w:hAnsi="Calibri" w:cs="Calibri"/>
                <w:color w:val="000000"/>
                <w:sz w:val="20"/>
                <w:szCs w:val="20"/>
              </w:rPr>
            </w:pPr>
          </w:p>
          <w:p w:rsidR="00BA27A0" w:rsidRDefault="00BA27A0">
            <w:pPr>
              <w:spacing w:after="0"/>
              <w:jc w:val="left"/>
              <w:rPr>
                <w:rFonts w:ascii="Calibri" w:hAnsi="Calibri" w:cs="Calibri"/>
                <w:color w:val="000000"/>
                <w:sz w:val="20"/>
                <w:szCs w:val="20"/>
              </w:rPr>
            </w:pPr>
            <w:r>
              <w:rPr>
                <w:rFonts w:ascii="Calibri" w:hAnsi="Calibri" w:cs="Calibri"/>
                <w:color w:val="000000"/>
                <w:sz w:val="20"/>
                <w:szCs w:val="20"/>
              </w:rPr>
              <w:t>Data Source: Paper or electronic health record.</w:t>
            </w:r>
          </w:p>
          <w:p w:rsidR="00BA27A0" w:rsidRDefault="00BA27A0">
            <w:pPr>
              <w:spacing w:after="0"/>
              <w:ind w:left="252"/>
              <w:jc w:val="left"/>
              <w:rPr>
                <w:rFonts w:ascii="Calibri" w:hAnsi="Calibri" w:cs="Calibri"/>
                <w:color w:val="000000"/>
                <w:sz w:val="20"/>
                <w:szCs w:val="20"/>
              </w:rPr>
            </w:pPr>
          </w:p>
          <w:p w:rsidR="00BA27A0" w:rsidRDefault="00BA27A0">
            <w:pPr>
              <w:spacing w:after="0"/>
              <w:jc w:val="left"/>
              <w:rPr>
                <w:rFonts w:ascii="Calibri" w:hAnsi="Calibri" w:cs="Calibri"/>
                <w:sz w:val="20"/>
                <w:szCs w:val="20"/>
              </w:rPr>
            </w:pPr>
            <w:r>
              <w:rPr>
                <w:rFonts w:ascii="Calibri" w:hAnsi="Calibri" w:cs="Calibri"/>
                <w:sz w:val="20"/>
                <w:szCs w:val="20"/>
              </w:rPr>
              <w:t xml:space="preserve">Milestone 7 Estimated Incentive Payment: </w:t>
            </w:r>
            <w:r>
              <w:rPr>
                <w:rFonts w:ascii="Calibri" w:hAnsi="Calibri" w:cs="Calibri"/>
                <w:sz w:val="20"/>
                <w:szCs w:val="20"/>
                <w:u w:val="single"/>
              </w:rPr>
              <w:t>$1,392,646</w:t>
            </w:r>
          </w:p>
          <w:p w:rsidR="00BA27A0" w:rsidRDefault="00BA27A0">
            <w:pPr>
              <w:spacing w:after="0"/>
              <w:jc w:val="left"/>
              <w:rPr>
                <w:rFonts w:ascii="Calibri" w:hAnsi="Calibri" w:cs="Calibri"/>
                <w:sz w:val="20"/>
                <w:szCs w:val="20"/>
              </w:rPr>
            </w:pPr>
          </w:p>
        </w:tc>
        <w:tc>
          <w:tcPr>
            <w:tcW w:w="3690" w:type="dxa"/>
          </w:tcPr>
          <w:p w:rsidR="00BA27A0" w:rsidRDefault="00BA27A0">
            <w:pPr>
              <w:spacing w:after="0"/>
              <w:jc w:val="left"/>
              <w:rPr>
                <w:rFonts w:ascii="Calibri" w:hAnsi="Calibri" w:cs="Calibri"/>
                <w:b/>
                <w:sz w:val="20"/>
                <w:szCs w:val="20"/>
              </w:rPr>
            </w:pPr>
          </w:p>
          <w:p w:rsidR="00BA27A0" w:rsidRDefault="00BA27A0">
            <w:pPr>
              <w:spacing w:after="0"/>
              <w:jc w:val="left"/>
              <w:rPr>
                <w:rFonts w:ascii="Calibri" w:hAnsi="Calibri" w:cs="Calibri"/>
                <w:sz w:val="20"/>
                <w:szCs w:val="20"/>
              </w:rPr>
            </w:pPr>
            <w:r>
              <w:rPr>
                <w:rFonts w:ascii="Calibri" w:hAnsi="Calibri" w:cs="Calibri"/>
                <w:b/>
                <w:sz w:val="20"/>
                <w:szCs w:val="20"/>
              </w:rPr>
              <w:t>Milestone 8</w:t>
            </w:r>
            <w:r>
              <w:rPr>
                <w:rFonts w:ascii="Calibri" w:hAnsi="Calibri" w:cs="Calibri"/>
                <w:sz w:val="20"/>
                <w:szCs w:val="20"/>
              </w:rPr>
              <w:t xml:space="preserve"> [I-11]: Increase the number of patients receiving medication management from acute care to the ambulatory setting.</w:t>
            </w:r>
          </w:p>
          <w:p w:rsidR="00BA27A0" w:rsidRDefault="00BA27A0">
            <w:pPr>
              <w:spacing w:after="0"/>
              <w:jc w:val="left"/>
              <w:rPr>
                <w:rFonts w:ascii="Calibri" w:hAnsi="Calibri" w:cs="Calibri"/>
                <w:sz w:val="20"/>
                <w:szCs w:val="20"/>
              </w:rPr>
            </w:pPr>
          </w:p>
          <w:p w:rsidR="00BA27A0" w:rsidRDefault="00BA27A0">
            <w:pPr>
              <w:spacing w:after="0"/>
              <w:jc w:val="left"/>
              <w:rPr>
                <w:rFonts w:ascii="Calibri" w:hAnsi="Calibri" w:cs="Calibri"/>
                <w:sz w:val="20"/>
                <w:szCs w:val="20"/>
              </w:rPr>
            </w:pPr>
            <w:r>
              <w:rPr>
                <w:rFonts w:ascii="Calibri" w:hAnsi="Calibri" w:cs="Calibri"/>
                <w:sz w:val="20"/>
                <w:szCs w:val="20"/>
                <w:u w:val="single"/>
              </w:rPr>
              <w:t>Metric 8</w:t>
            </w:r>
            <w:r>
              <w:rPr>
                <w:rFonts w:ascii="Calibri" w:hAnsi="Calibri" w:cs="Calibri"/>
                <w:sz w:val="20"/>
                <w:szCs w:val="20"/>
              </w:rPr>
              <w:t xml:space="preserve"> [I-11.1]: Percent of discharged patients who received medication reconciliation as part of the transition from acute to ambulatory care.</w:t>
            </w:r>
          </w:p>
          <w:p w:rsidR="00BA27A0" w:rsidRDefault="00BA27A0">
            <w:pPr>
              <w:spacing w:after="0"/>
              <w:ind w:left="252"/>
              <w:jc w:val="left"/>
              <w:rPr>
                <w:rFonts w:ascii="Calibri" w:hAnsi="Calibri" w:cs="Calibri"/>
                <w:color w:val="000000"/>
                <w:sz w:val="20"/>
                <w:szCs w:val="20"/>
              </w:rPr>
            </w:pPr>
            <w:r>
              <w:rPr>
                <w:rFonts w:ascii="Calibri" w:hAnsi="Calibri" w:cs="Calibri"/>
                <w:color w:val="000000"/>
                <w:sz w:val="20"/>
                <w:szCs w:val="20"/>
              </w:rPr>
              <w:t>Baseline/Goal: 30% improvement over DY1.</w:t>
            </w:r>
          </w:p>
          <w:p w:rsidR="00BA27A0" w:rsidRDefault="00BA27A0">
            <w:pPr>
              <w:spacing w:after="0"/>
              <w:ind w:left="252"/>
              <w:jc w:val="left"/>
              <w:rPr>
                <w:rFonts w:ascii="Calibri" w:hAnsi="Calibri" w:cs="Calibri"/>
                <w:color w:val="000000"/>
                <w:sz w:val="20"/>
                <w:szCs w:val="20"/>
              </w:rPr>
            </w:pPr>
            <w:r>
              <w:rPr>
                <w:rFonts w:ascii="Calibri" w:hAnsi="Calibri" w:cs="Calibri"/>
                <w:color w:val="000000"/>
                <w:sz w:val="20"/>
                <w:szCs w:val="20"/>
              </w:rPr>
              <w:t>Data Source: EHR; discharge data.</w:t>
            </w:r>
          </w:p>
          <w:p w:rsidR="00BA27A0" w:rsidRDefault="00BA27A0">
            <w:pPr>
              <w:spacing w:after="0"/>
              <w:jc w:val="left"/>
              <w:rPr>
                <w:rFonts w:ascii="Calibri" w:hAnsi="Calibri" w:cs="Calibri"/>
                <w:sz w:val="20"/>
                <w:szCs w:val="20"/>
              </w:rPr>
            </w:pPr>
            <w:r>
              <w:rPr>
                <w:rFonts w:ascii="Calibri" w:hAnsi="Calibri" w:cs="Calibri"/>
                <w:sz w:val="20"/>
                <w:szCs w:val="20"/>
              </w:rPr>
              <w:t>Baseline/Goal:  50% of Coumadin patients with electronic medication reconciliation implemented</w:t>
            </w:r>
          </w:p>
          <w:p w:rsidR="00BA27A0" w:rsidRDefault="00BA27A0">
            <w:pPr>
              <w:spacing w:after="0"/>
              <w:jc w:val="left"/>
              <w:rPr>
                <w:rFonts w:ascii="Calibri" w:hAnsi="Calibri" w:cs="Calibri"/>
                <w:sz w:val="20"/>
                <w:szCs w:val="20"/>
              </w:rPr>
            </w:pPr>
          </w:p>
          <w:p w:rsidR="00BA27A0" w:rsidRDefault="00BA27A0">
            <w:pPr>
              <w:spacing w:after="0"/>
              <w:jc w:val="left"/>
              <w:rPr>
                <w:rFonts w:ascii="Calibri" w:hAnsi="Calibri" w:cs="Calibri"/>
                <w:sz w:val="20"/>
                <w:szCs w:val="20"/>
              </w:rPr>
            </w:pPr>
            <w:r>
              <w:rPr>
                <w:rFonts w:ascii="Calibri" w:hAnsi="Calibri" w:cs="Calibri"/>
                <w:sz w:val="20"/>
                <w:szCs w:val="20"/>
              </w:rPr>
              <w:t xml:space="preserve">Milestone 8 Estimated Incentive Payment: </w:t>
            </w:r>
            <w:r>
              <w:rPr>
                <w:rFonts w:ascii="Calibri" w:hAnsi="Calibri"/>
                <w:sz w:val="20"/>
                <w:szCs w:val="20"/>
                <w:u w:val="single"/>
              </w:rPr>
              <w:t>$2,300,894</w:t>
            </w:r>
          </w:p>
          <w:p w:rsidR="00BA27A0" w:rsidRDefault="00BA27A0">
            <w:pPr>
              <w:spacing w:after="0"/>
              <w:jc w:val="left"/>
              <w:rPr>
                <w:rFonts w:ascii="Calibri" w:hAnsi="Calibri" w:cs="Calibri"/>
                <w:sz w:val="20"/>
                <w:szCs w:val="20"/>
              </w:rPr>
            </w:pPr>
          </w:p>
        </w:tc>
      </w:tr>
      <w:tr w:rsidR="00BA27A0">
        <w:trPr>
          <w:trHeight w:val="529"/>
          <w:jc w:val="center"/>
        </w:trPr>
        <w:tc>
          <w:tcPr>
            <w:tcW w:w="3459" w:type="dxa"/>
            <w:gridSpan w:val="2"/>
          </w:tcPr>
          <w:p w:rsidR="00BA27A0" w:rsidRDefault="00BA27A0">
            <w:pPr>
              <w:spacing w:after="0"/>
              <w:jc w:val="left"/>
              <w:rPr>
                <w:rFonts w:ascii="Calibri" w:hAnsi="Calibri"/>
                <w:sz w:val="20"/>
                <w:szCs w:val="20"/>
              </w:rPr>
            </w:pPr>
            <w:r>
              <w:rPr>
                <w:rFonts w:ascii="Calibri" w:hAnsi="Calibri"/>
                <w:sz w:val="20"/>
                <w:szCs w:val="20"/>
              </w:rPr>
              <w:t xml:space="preserve">Year 2 Estimated Milestone Bundle Amount: </w:t>
            </w:r>
            <w:r>
              <w:rPr>
                <w:rFonts w:ascii="Calibri" w:hAnsi="Calibri" w:cs="Calibri"/>
                <w:sz w:val="20"/>
                <w:szCs w:val="20"/>
                <w:u w:val="single"/>
              </w:rPr>
              <w:t>$2,545,698</w:t>
            </w:r>
          </w:p>
        </w:tc>
        <w:tc>
          <w:tcPr>
            <w:tcW w:w="3297" w:type="dxa"/>
            <w:gridSpan w:val="2"/>
          </w:tcPr>
          <w:p w:rsidR="00BA27A0" w:rsidRDefault="00BA27A0">
            <w:pPr>
              <w:spacing w:after="0"/>
              <w:jc w:val="left"/>
              <w:rPr>
                <w:rFonts w:ascii="Calibri" w:hAnsi="Calibri"/>
                <w:sz w:val="20"/>
                <w:szCs w:val="20"/>
              </w:rPr>
            </w:pPr>
            <w:r>
              <w:rPr>
                <w:rFonts w:ascii="Calibri" w:hAnsi="Calibri"/>
                <w:sz w:val="20"/>
                <w:szCs w:val="20"/>
              </w:rPr>
              <w:t xml:space="preserve">Year 3 Estimated Milestone Bundle Amount: </w:t>
            </w:r>
            <w:r>
              <w:rPr>
                <w:rFonts w:ascii="Calibri" w:hAnsi="Calibri"/>
                <w:sz w:val="20"/>
                <w:szCs w:val="20"/>
                <w:u w:val="single"/>
              </w:rPr>
              <w:t>$2,777,220</w:t>
            </w:r>
          </w:p>
        </w:tc>
        <w:tc>
          <w:tcPr>
            <w:tcW w:w="3684" w:type="dxa"/>
            <w:gridSpan w:val="2"/>
          </w:tcPr>
          <w:p w:rsidR="00BA27A0" w:rsidRDefault="00BA27A0">
            <w:pPr>
              <w:spacing w:after="0"/>
              <w:jc w:val="left"/>
              <w:rPr>
                <w:rFonts w:ascii="Calibri" w:hAnsi="Calibri"/>
                <w:sz w:val="20"/>
                <w:szCs w:val="20"/>
              </w:rPr>
            </w:pPr>
            <w:r>
              <w:rPr>
                <w:rFonts w:ascii="Calibri" w:hAnsi="Calibri"/>
                <w:sz w:val="20"/>
                <w:szCs w:val="20"/>
              </w:rPr>
              <w:t xml:space="preserve">Year 4 Estimated Milestone Bundle Amount: </w:t>
            </w:r>
            <w:r>
              <w:rPr>
                <w:rFonts w:ascii="Calibri" w:hAnsi="Calibri"/>
                <w:sz w:val="20"/>
                <w:szCs w:val="20"/>
                <w:u w:val="single"/>
              </w:rPr>
              <w:t>$2,785,293</w:t>
            </w:r>
          </w:p>
        </w:tc>
        <w:tc>
          <w:tcPr>
            <w:tcW w:w="3690" w:type="dxa"/>
          </w:tcPr>
          <w:p w:rsidR="00BA27A0" w:rsidRDefault="00BA27A0">
            <w:pPr>
              <w:spacing w:after="0"/>
              <w:jc w:val="left"/>
              <w:rPr>
                <w:rFonts w:ascii="Calibri" w:hAnsi="Calibri"/>
                <w:sz w:val="20"/>
                <w:szCs w:val="20"/>
              </w:rPr>
            </w:pPr>
            <w:r>
              <w:rPr>
                <w:rFonts w:ascii="Calibri" w:hAnsi="Calibri"/>
                <w:sz w:val="20"/>
                <w:szCs w:val="20"/>
              </w:rPr>
              <w:t xml:space="preserve">Year 5 Estimated Milestone Bundle Amount: </w:t>
            </w:r>
            <w:r>
              <w:rPr>
                <w:rFonts w:ascii="Calibri" w:hAnsi="Calibri"/>
                <w:sz w:val="20"/>
                <w:szCs w:val="20"/>
                <w:u w:val="single"/>
              </w:rPr>
              <w:t>$2,300,894</w:t>
            </w:r>
          </w:p>
        </w:tc>
      </w:tr>
      <w:tr w:rsidR="00BA27A0">
        <w:trPr>
          <w:trHeight w:val="377"/>
          <w:jc w:val="center"/>
        </w:trPr>
        <w:tc>
          <w:tcPr>
            <w:tcW w:w="14130" w:type="dxa"/>
            <w:gridSpan w:val="7"/>
          </w:tcPr>
          <w:p w:rsidR="00BA27A0" w:rsidRDefault="00BA27A0">
            <w:pPr>
              <w:spacing w:after="0"/>
              <w:jc w:val="left"/>
              <w:rPr>
                <w:rFonts w:ascii="Calibri" w:hAnsi="Calibri"/>
                <w:sz w:val="20"/>
                <w:szCs w:val="20"/>
              </w:rPr>
            </w:pPr>
            <w:r>
              <w:rPr>
                <w:rFonts w:ascii="Calibri" w:hAnsi="Calibri"/>
                <w:b/>
                <w:sz w:val="20"/>
                <w:szCs w:val="20"/>
              </w:rPr>
              <w:t>TOTAL ESTIMATED INCENTIVE PAYMENTS FOR 4-YEAR PERIOD:</w:t>
            </w:r>
            <w:r>
              <w:rPr>
                <w:rFonts w:ascii="Calibri" w:hAnsi="Calibri"/>
                <w:sz w:val="20"/>
                <w:szCs w:val="20"/>
              </w:rPr>
              <w:t xml:space="preserve"> </w:t>
            </w:r>
            <w:r>
              <w:rPr>
                <w:rFonts w:ascii="Calibri" w:hAnsi="Calibri" w:cs="Calibri"/>
                <w:sz w:val="20"/>
                <w:szCs w:val="20"/>
                <w:u w:val="single"/>
              </w:rPr>
              <w:t>$10,409,105</w:t>
            </w:r>
          </w:p>
        </w:tc>
      </w:tr>
    </w:tbl>
    <w:p w:rsidR="00BA27A0" w:rsidRDefault="00BA27A0">
      <w:pPr>
        <w:spacing w:after="0"/>
        <w:ind w:left="360" w:hanging="360"/>
        <w:rPr>
          <w:rFonts w:ascii="Calibri" w:hAnsi="Calibri"/>
          <w:sz w:val="20"/>
          <w:szCs w:val="20"/>
        </w:rPr>
      </w:pPr>
    </w:p>
    <w:p w:rsidR="00BA27A0" w:rsidRDefault="00BA27A0">
      <w:pPr>
        <w:spacing w:after="0"/>
        <w:ind w:left="360" w:hanging="360"/>
        <w:rPr>
          <w:rFonts w:ascii="Calibri" w:hAnsi="Calibri"/>
          <w:sz w:val="20"/>
          <w:szCs w:val="20"/>
        </w:rPr>
      </w:pPr>
    </w:p>
    <w:p w:rsidR="00BA27A0" w:rsidRDefault="00BA27A0">
      <w:pPr>
        <w:spacing w:after="0"/>
        <w:ind w:left="360" w:hanging="360"/>
        <w:rPr>
          <w:rFonts w:ascii="Calibri" w:hAnsi="Calibri"/>
          <w:color w:val="808080"/>
          <w:sz w:val="20"/>
          <w:szCs w:val="20"/>
        </w:rPr>
      </w:pPr>
      <w:r>
        <w:rPr>
          <w:rFonts w:ascii="Calibri" w:hAnsi="Calibri"/>
          <w:color w:val="808080"/>
          <w:sz w:val="16"/>
          <w:szCs w:val="20"/>
        </w:rPr>
        <w:t>93658</w:t>
      </w:r>
    </w:p>
    <w:sectPr w:rsidR="00BA27A0" w:rsidSect="001E4BC4">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7A0" w:rsidRDefault="00BA27A0">
      <w:pPr>
        <w:spacing w:after="0"/>
      </w:pPr>
      <w:r>
        <w:separator/>
      </w:r>
    </w:p>
  </w:endnote>
  <w:endnote w:type="continuationSeparator" w:id="0">
    <w:p w:rsidR="00BA27A0" w:rsidRDefault="00BA27A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7A0" w:rsidRDefault="00BA27A0">
    <w:pPr>
      <w:pStyle w:val="Footer"/>
    </w:pPr>
  </w:p>
  <w:p w:rsidR="00BA27A0" w:rsidRDefault="00BA27A0">
    <w:pPr>
      <w:pStyle w:val="Footer"/>
      <w:jc w:val="center"/>
      <w:rPr>
        <w:rFonts w:ascii="Calibri" w:hAnsi="Calibri" w:cs="Calibri"/>
        <w:sz w:val="20"/>
      </w:rPr>
    </w:pPr>
    <w:r>
      <w:rPr>
        <w:rFonts w:ascii="Calibri" w:hAnsi="Calibri" w:cs="Calibri"/>
        <w:sz w:val="20"/>
      </w:rPr>
      <w:fldChar w:fldCharType="begin"/>
    </w:r>
    <w:r>
      <w:rPr>
        <w:rFonts w:ascii="Calibri" w:hAnsi="Calibri" w:cs="Calibri"/>
        <w:sz w:val="20"/>
      </w:rPr>
      <w:instrText xml:space="preserve"> PAGE   \* MERGEFORMAT </w:instrText>
    </w:r>
    <w:r>
      <w:rPr>
        <w:rFonts w:ascii="Calibri" w:hAnsi="Calibri" w:cs="Calibri"/>
        <w:sz w:val="20"/>
      </w:rPr>
      <w:fldChar w:fldCharType="separate"/>
    </w:r>
    <w:r>
      <w:rPr>
        <w:rFonts w:ascii="Calibri" w:hAnsi="Calibri" w:cs="Calibri"/>
        <w:noProof/>
        <w:sz w:val="20"/>
      </w:rPr>
      <w:t>4</w:t>
    </w:r>
    <w:r>
      <w:rPr>
        <w:rFonts w:ascii="Calibri" w:hAnsi="Calibri" w:cs="Calibri"/>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7A0" w:rsidRDefault="00BA27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7A0" w:rsidRDefault="00BA27A0">
    <w:pPr>
      <w:pStyle w:val="Footer"/>
      <w:jc w:val="center"/>
    </w:pPr>
  </w:p>
  <w:p w:rsidR="00BA27A0" w:rsidRDefault="00BA27A0">
    <w:pPr>
      <w:pStyle w:val="Footer"/>
      <w:jc w:val="center"/>
      <w:rPr>
        <w:rFonts w:ascii="Calibri" w:hAnsi="Calibri" w:cs="Calibri"/>
        <w:sz w:val="20"/>
      </w:rPr>
    </w:pPr>
    <w:r>
      <w:rPr>
        <w:rFonts w:ascii="Calibri" w:hAnsi="Calibri" w:cs="Calibri"/>
        <w:sz w:val="20"/>
      </w:rPr>
      <w:fldChar w:fldCharType="begin"/>
    </w:r>
    <w:r>
      <w:rPr>
        <w:rFonts w:ascii="Calibri" w:hAnsi="Calibri" w:cs="Calibri"/>
        <w:sz w:val="20"/>
      </w:rPr>
      <w:instrText xml:space="preserve"> PAGE   \* MERGEFORMAT </w:instrText>
    </w:r>
    <w:r>
      <w:rPr>
        <w:rFonts w:ascii="Calibri" w:hAnsi="Calibri" w:cs="Calibri"/>
        <w:sz w:val="20"/>
      </w:rPr>
      <w:fldChar w:fldCharType="separate"/>
    </w:r>
    <w:r>
      <w:rPr>
        <w:rFonts w:ascii="Calibri" w:hAnsi="Calibri" w:cs="Calibri"/>
        <w:noProof/>
        <w:sz w:val="20"/>
      </w:rPr>
      <w:t>5</w:t>
    </w:r>
    <w:r>
      <w:rPr>
        <w:rFonts w:ascii="Calibri" w:hAnsi="Calibri" w:cs="Calibri"/>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7A0" w:rsidRDefault="00BA27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7A0" w:rsidRDefault="00BA27A0">
      <w:pPr>
        <w:spacing w:after="0"/>
      </w:pPr>
      <w:r>
        <w:separator/>
      </w:r>
    </w:p>
  </w:footnote>
  <w:footnote w:type="continuationSeparator" w:id="0">
    <w:p w:rsidR="00BA27A0" w:rsidRDefault="00BA27A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7A0" w:rsidRDefault="00BA27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7A0" w:rsidRDefault="00BA27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7A0" w:rsidRDefault="00BA27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0639"/>
    <w:multiLevelType w:val="hybridMultilevel"/>
    <w:tmpl w:val="882A2D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94D7FBD"/>
    <w:multiLevelType w:val="hybridMultilevel"/>
    <w:tmpl w:val="B0120FF2"/>
    <w:lvl w:ilvl="0" w:tplc="04090017">
      <w:start w:val="1"/>
      <w:numFmt w:val="lowerLetter"/>
      <w:lvlText w:val="%1)"/>
      <w:lvlJc w:val="left"/>
      <w:pPr>
        <w:ind w:left="1080" w:hanging="360"/>
      </w:pPr>
      <w:rPr>
        <w:rFonts w:cs="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7D00CA7"/>
    <w:multiLevelType w:val="hybridMultilevel"/>
    <w:tmpl w:val="276EF2D0"/>
    <w:lvl w:ilvl="0" w:tplc="FF96BBF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D052F1"/>
    <w:multiLevelType w:val="hybridMultilevel"/>
    <w:tmpl w:val="5A445B9C"/>
    <w:lvl w:ilvl="0" w:tplc="672A3540">
      <w:start w:val="1"/>
      <w:numFmt w:val="decimal"/>
      <w:pStyle w:val="Heading1"/>
      <w:lvlText w:val="ARTICLE %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F396A59"/>
    <w:multiLevelType w:val="hybridMultilevel"/>
    <w:tmpl w:val="31A4AD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C20844"/>
    <w:multiLevelType w:val="multilevel"/>
    <w:tmpl w:val="8B3E5D1C"/>
    <w:lvl w:ilvl="0">
      <w:start w:val="1"/>
      <w:numFmt w:val="decimal"/>
      <w:suff w:val="nothing"/>
      <w:lvlText w:val="Article %1"/>
      <w:lvlJc w:val="left"/>
      <w:rPr>
        <w:rFonts w:cs="Times New Roman" w:hint="default"/>
        <w:b/>
        <w:i w:val="0"/>
        <w:caps/>
      </w:rPr>
    </w:lvl>
    <w:lvl w:ilvl="1">
      <w:start w:val="1"/>
      <w:numFmt w:val="decimal"/>
      <w:pStyle w:val="Heading2"/>
      <w:lvlText w:val="%1.%2"/>
      <w:lvlJc w:val="left"/>
      <w:pPr>
        <w:tabs>
          <w:tab w:val="num" w:pos="720"/>
        </w:tabs>
        <w:ind w:firstLine="720"/>
      </w:pPr>
      <w:rPr>
        <w:rFonts w:cs="Times New Roman" w:hint="default"/>
      </w:rPr>
    </w:lvl>
    <w:lvl w:ilvl="2">
      <w:start w:val="1"/>
      <w:numFmt w:val="lowerLetter"/>
      <w:pStyle w:val="Heading3"/>
      <w:lvlText w:val="(%3)"/>
      <w:lvlJc w:val="left"/>
      <w:pPr>
        <w:tabs>
          <w:tab w:val="num" w:pos="1440"/>
        </w:tabs>
        <w:ind w:left="720" w:firstLine="720"/>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6">
    <w:nsid w:val="3F1F37C4"/>
    <w:multiLevelType w:val="multilevel"/>
    <w:tmpl w:val="2992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D5729A"/>
    <w:multiLevelType w:val="hybridMultilevel"/>
    <w:tmpl w:val="BFD843A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6E34DB"/>
    <w:multiLevelType w:val="hybridMultilevel"/>
    <w:tmpl w:val="EC36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20210B"/>
    <w:multiLevelType w:val="hybridMultilevel"/>
    <w:tmpl w:val="C7C41E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FA0C3A"/>
    <w:multiLevelType w:val="hybridMultilevel"/>
    <w:tmpl w:val="72BC0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8"/>
  </w:num>
  <w:num w:numId="5">
    <w:abstractNumId w:val="7"/>
  </w:num>
  <w:num w:numId="6">
    <w:abstractNumId w:val="4"/>
  </w:num>
  <w:num w:numId="7">
    <w:abstractNumId w:val="9"/>
  </w:num>
  <w:num w:numId="8">
    <w:abstractNumId w:val="6"/>
  </w:num>
  <w:num w:numId="9">
    <w:abstractNumId w:val="2"/>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693C"/>
    <w:rsid w:val="00166004"/>
    <w:rsid w:val="001E4BC4"/>
    <w:rsid w:val="002764A1"/>
    <w:rsid w:val="00391C9D"/>
    <w:rsid w:val="00474C73"/>
    <w:rsid w:val="00493A94"/>
    <w:rsid w:val="0052693C"/>
    <w:rsid w:val="005F3B46"/>
    <w:rsid w:val="006F3119"/>
    <w:rsid w:val="00916497"/>
    <w:rsid w:val="00937609"/>
    <w:rsid w:val="00970C60"/>
    <w:rsid w:val="00BA27A0"/>
    <w:rsid w:val="00E84A48"/>
    <w:rsid w:val="00E8792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497"/>
    <w:pPr>
      <w:spacing w:after="240"/>
      <w:jc w:val="both"/>
    </w:pPr>
    <w:rPr>
      <w:sz w:val="24"/>
    </w:rPr>
  </w:style>
  <w:style w:type="paragraph" w:styleId="Heading1">
    <w:name w:val="heading 1"/>
    <w:basedOn w:val="Normal"/>
    <w:next w:val="Heading2"/>
    <w:link w:val="Heading1Char"/>
    <w:uiPriority w:val="99"/>
    <w:qFormat/>
    <w:rsid w:val="00916497"/>
    <w:pPr>
      <w:keepNext/>
      <w:widowControl w:val="0"/>
      <w:numPr>
        <w:numId w:val="1"/>
      </w:numPr>
      <w:ind w:left="0" w:firstLine="0"/>
      <w:jc w:val="center"/>
      <w:outlineLvl w:val="0"/>
    </w:pPr>
    <w:rPr>
      <w:rFonts w:eastAsia="Times New Roman"/>
      <w:b/>
      <w:sz w:val="25"/>
      <w:szCs w:val="25"/>
    </w:rPr>
  </w:style>
  <w:style w:type="paragraph" w:styleId="Heading2">
    <w:name w:val="heading 2"/>
    <w:basedOn w:val="Normal"/>
    <w:link w:val="Heading2Char"/>
    <w:uiPriority w:val="99"/>
    <w:qFormat/>
    <w:rsid w:val="00916497"/>
    <w:pPr>
      <w:numPr>
        <w:ilvl w:val="1"/>
        <w:numId w:val="2"/>
      </w:numPr>
      <w:outlineLvl w:val="1"/>
    </w:pPr>
    <w:rPr>
      <w:rFonts w:eastAsia="Times New Roman"/>
      <w:sz w:val="23"/>
      <w:szCs w:val="23"/>
    </w:rPr>
  </w:style>
  <w:style w:type="paragraph" w:styleId="Heading3">
    <w:name w:val="heading 3"/>
    <w:basedOn w:val="Normal"/>
    <w:next w:val="Normal"/>
    <w:link w:val="Heading3Char"/>
    <w:uiPriority w:val="99"/>
    <w:qFormat/>
    <w:rsid w:val="00916497"/>
    <w:pPr>
      <w:numPr>
        <w:ilvl w:val="2"/>
        <w:numId w:val="2"/>
      </w:numPr>
      <w:outlineLvl w:val="2"/>
    </w:pPr>
    <w:rPr>
      <w:rFonts w:eastAsia="Times New Roman"/>
      <w:sz w:val="23"/>
      <w:szCs w:val="2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6497"/>
    <w:rPr>
      <w:rFonts w:eastAsia="Times New Roman" w:cs="Times New Roman"/>
      <w:b/>
      <w:sz w:val="25"/>
    </w:rPr>
  </w:style>
  <w:style w:type="character" w:customStyle="1" w:styleId="Heading2Char">
    <w:name w:val="Heading 2 Char"/>
    <w:basedOn w:val="DefaultParagraphFont"/>
    <w:link w:val="Heading2"/>
    <w:uiPriority w:val="99"/>
    <w:locked/>
    <w:rsid w:val="00916497"/>
    <w:rPr>
      <w:rFonts w:eastAsia="Times New Roman" w:cs="Times New Roman"/>
      <w:sz w:val="23"/>
    </w:rPr>
  </w:style>
  <w:style w:type="character" w:customStyle="1" w:styleId="Heading3Char">
    <w:name w:val="Heading 3 Char"/>
    <w:basedOn w:val="DefaultParagraphFont"/>
    <w:link w:val="Heading3"/>
    <w:uiPriority w:val="99"/>
    <w:locked/>
    <w:rsid w:val="00916497"/>
    <w:rPr>
      <w:rFonts w:eastAsia="Times New Roman" w:cs="Times New Roman"/>
      <w:sz w:val="23"/>
    </w:rPr>
  </w:style>
  <w:style w:type="paragraph" w:styleId="ListParagraph">
    <w:name w:val="List Paragraph"/>
    <w:basedOn w:val="Normal"/>
    <w:uiPriority w:val="99"/>
    <w:qFormat/>
    <w:rsid w:val="00916497"/>
    <w:pPr>
      <w:spacing w:after="200" w:line="276" w:lineRule="auto"/>
      <w:ind w:left="720"/>
      <w:contextualSpacing/>
      <w:jc w:val="left"/>
    </w:pPr>
    <w:rPr>
      <w:rFonts w:ascii="Calibri" w:hAnsi="Calibri"/>
      <w:sz w:val="22"/>
    </w:rPr>
  </w:style>
  <w:style w:type="character" w:styleId="Strong">
    <w:name w:val="Strong"/>
    <w:basedOn w:val="DefaultParagraphFont"/>
    <w:uiPriority w:val="99"/>
    <w:qFormat/>
    <w:rsid w:val="00916497"/>
    <w:rPr>
      <w:rFonts w:cs="Times New Roman"/>
      <w:b/>
    </w:rPr>
  </w:style>
  <w:style w:type="paragraph" w:styleId="Header">
    <w:name w:val="header"/>
    <w:basedOn w:val="Normal"/>
    <w:link w:val="HeaderChar"/>
    <w:uiPriority w:val="99"/>
    <w:rsid w:val="00916497"/>
    <w:pPr>
      <w:tabs>
        <w:tab w:val="center" w:pos="4680"/>
        <w:tab w:val="right" w:pos="9360"/>
      </w:tabs>
      <w:spacing w:after="0"/>
    </w:pPr>
    <w:rPr>
      <w:szCs w:val="20"/>
    </w:rPr>
  </w:style>
  <w:style w:type="character" w:customStyle="1" w:styleId="HeaderChar">
    <w:name w:val="Header Char"/>
    <w:basedOn w:val="DefaultParagraphFont"/>
    <w:link w:val="Header"/>
    <w:uiPriority w:val="99"/>
    <w:locked/>
    <w:rsid w:val="00916497"/>
    <w:rPr>
      <w:rFonts w:cs="Times New Roman"/>
      <w:sz w:val="24"/>
    </w:rPr>
  </w:style>
  <w:style w:type="paragraph" w:styleId="Footer">
    <w:name w:val="footer"/>
    <w:basedOn w:val="Normal"/>
    <w:link w:val="FooterChar"/>
    <w:uiPriority w:val="99"/>
    <w:rsid w:val="00916497"/>
    <w:pPr>
      <w:tabs>
        <w:tab w:val="center" w:pos="4680"/>
        <w:tab w:val="right" w:pos="9360"/>
      </w:tabs>
      <w:spacing w:after="0"/>
    </w:pPr>
    <w:rPr>
      <w:szCs w:val="20"/>
    </w:rPr>
  </w:style>
  <w:style w:type="character" w:customStyle="1" w:styleId="FooterChar">
    <w:name w:val="Footer Char"/>
    <w:basedOn w:val="DefaultParagraphFont"/>
    <w:link w:val="Footer"/>
    <w:uiPriority w:val="99"/>
    <w:locked/>
    <w:rsid w:val="00916497"/>
    <w:rPr>
      <w:rFonts w:cs="Times New Roman"/>
      <w:sz w:val="24"/>
    </w:rPr>
  </w:style>
  <w:style w:type="paragraph" w:styleId="BalloonText">
    <w:name w:val="Balloon Text"/>
    <w:basedOn w:val="Normal"/>
    <w:link w:val="BalloonTextChar"/>
    <w:uiPriority w:val="99"/>
    <w:semiHidden/>
    <w:rsid w:val="00916497"/>
    <w:rPr>
      <w:rFonts w:ascii="Times New Roman" w:hAnsi="Times New Roman"/>
      <w:sz w:val="2"/>
      <w:szCs w:val="20"/>
    </w:rPr>
  </w:style>
  <w:style w:type="character" w:customStyle="1" w:styleId="BalloonTextChar">
    <w:name w:val="Balloon Text Char"/>
    <w:basedOn w:val="DefaultParagraphFont"/>
    <w:link w:val="BalloonText"/>
    <w:uiPriority w:val="99"/>
    <w:semiHidden/>
    <w:locked/>
    <w:rsid w:val="00916497"/>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7</Pages>
  <Words>2265</Words>
  <Characters>12915</Characters>
  <Application>Microsoft Office Outlook</Application>
  <DocSecurity>0</DocSecurity>
  <Lines>0</Lines>
  <Paragraphs>0</Paragraphs>
  <ScaleCrop>false</ScaleCrop>
  <Company>Gjerset &amp; Lorenz, LLP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Paso) UMC Final DSRIP 10/29/12 - Conduct Medication Management-Establish a Coumadin Clinic at UMC NHC (00093658-6).DOCX</dc:title>
  <dc:subject/>
  <dc:creator>Cheyanne Weldon</dc:creator>
  <cp:keywords/>
  <dc:description/>
  <cp:lastModifiedBy>Thomason</cp:lastModifiedBy>
  <cp:revision>2</cp:revision>
  <cp:lastPrinted>2012-10-30T01:11:00Z</cp:lastPrinted>
  <dcterms:created xsi:type="dcterms:W3CDTF">2012-11-07T09:42:00Z</dcterms:created>
  <dcterms:modified xsi:type="dcterms:W3CDTF">2012-11-07T09:42:00Z</dcterms:modified>
</cp:coreProperties>
</file>